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before="0" w:after="320"/>
      </w:pPr>
    </w:p>
    <w:p>
      <w:pPr>
        <w:spacing w:before="0" w:after="60"/>
        <w:jc w:val="center"/>
      </w:pPr>
      <w:r>
        <w:rPr>
          <w:rFonts w:ascii="Arial" w:cs="Arial" w:eastAsia="Arial" w:hAnsi="Arial"/>
          <w:b/>
          <w:bCs/>
          <w:color w:val="1B3A6B"/>
          <w:sz w:val="52"/>
          <w:szCs w:val="52"/>
        </w:rPr>
        <w:t xml:space="preserve">INFORMED CONSENT</w:t>
      </w:r>
    </w:p>
    <w:p>
      <w:pPr>
        <w:spacing w:before="0" w:after="60"/>
        <w:jc w:val="center"/>
      </w:pPr>
      <w:r>
        <w:rPr>
          <w:rFonts w:ascii="Arial" w:cs="Arial" w:eastAsia="Arial" w:hAnsi="Arial"/>
          <w:b/>
          <w:bCs/>
          <w:color w:val="1A7A8C"/>
          <w:sz w:val="30"/>
          <w:szCs w:val="30"/>
        </w:rPr>
        <w:t xml:space="preserve">Weight Loss Medications</w:t>
      </w:r>
    </w:p>
    <w:p>
      <w:pPr>
        <w:spacing w:before="0" w:after="60"/>
        <w:jc w:val="center"/>
      </w:pPr>
      <w:r>
        <w:rPr>
          <w:rFonts w:ascii="Arial" w:cs="Arial" w:eastAsia="Arial" w:hAnsi="Arial"/>
          <w:color w:val="555555"/>
          <w:sz w:val="24"/>
          <w:szCs w:val="24"/>
        </w:rPr>
        <w:t xml:space="preserve">Semaglutide (GLP-1)  ·  Tirzepatide (GLP-1 / GIP)</w:t>
      </w:r>
    </w:p>
    <w:p>
      <w:pPr>
        <w:spacing w:before="0" w:after="280"/>
        <w:jc w:val="center"/>
      </w:pPr>
      <w:r>
        <w:rPr>
          <w:rFonts w:ascii="Arial" w:cs="Arial" w:eastAsia="Arial" w:hAnsi="Arial"/>
          <w:color w:val="888888"/>
          <w:sz w:val="20"/>
          <w:szCs w:val="20"/>
        </w:rPr>
        <w:t xml:space="preserve">Revive Low T Clinic  ·  206-960-4770  ·  v1.0  ·  March 2026</w:t>
      </w:r>
    </w:p>
    <w:p>
      <w:pPr>
        <w:pBdr>
          <w:bottom w:val="single" w:color="1B3A6B" w:sz="8"/>
        </w:pBdr>
        <w:spacing w:before="0" w:after="0"/>
      </w:pPr>
    </w:p>
    <w:p>
      <w:pPr>
        <w:spacing w:before="0" w:after="16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c>
          <w:tcPr>
            <w:tcW w:type="dxa" w:w="4680"/>
            <w:tcBorders>
              <w:top w:val="single" w:color="BDC3C7" w:sz="1"/>
              <w:left w:val="single" w:color="BDC3C7" w:sz="1"/>
              <w:bottom w:val="single" w:color="BDC3C7" w:sz="1"/>
              <w:right w:val="single" w:color="BDC3C7" w:sz="1"/>
            </w:tcBorders>
            <w:shd w:fill="F4F6F8" w:val="clear"/>
            <w:tcMar>
              <w:top w:type="dxa" w:w="80"/>
              <w:left w:type="dxa" w:w="120"/>
              <w:bottom w:type="dxa" w:w="80"/>
              <w:right w:type="dxa" w:w="80"/>
            </w:tcMar>
          </w:tcPr>
          <w:p>
            <w:pPr>
              <w:spacing w:before="0" w:after="60"/>
            </w:pPr>
            <w:r>
              <w:rPr>
                <w:rFonts w:ascii="Arial" w:cs="Arial" w:eastAsia="Arial" w:hAnsi="Arial"/>
                <w:b/>
                <w:bCs/>
                <w:color w:val="888888"/>
                <w:sz w:val="19"/>
                <w:szCs w:val="19"/>
              </w:rPr>
              <w:t xml:space="preserve">Patient Name</w:t>
            </w:r>
          </w:p>
          <w:p>
            <w:pPr>
              <w:pBdr>
                <w:bottom w:val="single" w:color="BDC3C7" w:sz="3"/>
              </w:pBdr>
              <w:spacing w:before="320" w:after="0"/>
            </w:pPr>
          </w:p>
        </w:tc>
        <w:tc>
          <w:tcPr>
            <w:tcW w:type="dxa" w:w="4680"/>
            <w:tcBorders>
              <w:top w:val="single" w:color="BDC3C7" w:sz="1"/>
              <w:left w:val="single" w:color="BDC3C7" w:sz="1"/>
              <w:bottom w:val="single" w:color="BDC3C7" w:sz="1"/>
              <w:right w:val="single" w:color="BDC3C7" w:sz="1"/>
            </w:tcBorders>
            <w:shd w:fill="F4F6F8" w:val="clear"/>
            <w:tcMar>
              <w:top w:type="dxa" w:w="80"/>
              <w:left w:type="dxa" w:w="120"/>
              <w:bottom w:type="dxa" w:w="80"/>
              <w:right w:type="dxa" w:w="80"/>
            </w:tcMar>
          </w:tcPr>
          <w:p>
            <w:pPr>
              <w:spacing w:before="0" w:after="60"/>
            </w:pPr>
            <w:r>
              <w:rPr>
                <w:rFonts w:ascii="Arial" w:cs="Arial" w:eastAsia="Arial" w:hAnsi="Arial"/>
                <w:b/>
                <w:bCs/>
                <w:color w:val="888888"/>
                <w:sz w:val="19"/>
                <w:szCs w:val="19"/>
              </w:rPr>
              <w:t xml:space="preserve">Date of Consent</w:t>
            </w:r>
          </w:p>
          <w:p>
            <w:pPr>
              <w:pBdr>
                <w:bottom w:val="single" w:color="BDC3C7" w:sz="3"/>
              </w:pBdr>
              <w:spacing w:before="320" w:after="0"/>
            </w:pPr>
          </w:p>
        </w:tc>
      </w:tr>
    </w:tbl>
    <w:p>
      <w:pPr>
        <w:spacing w:before="0" w:after="20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1A7A8C" w:sz="1"/>
              <w:left w:val="single" w:color="1A7A8C" w:sz="1"/>
              <w:bottom w:val="single" w:color="1A7A8C" w:sz="1"/>
              <w:right w:val="single" w:color="1A7A8C" w:sz="1"/>
            </w:tcBorders>
            <w:shd w:fill="1B3A6B" w:val="clear"/>
            <w:tcMar>
              <w:top w:type="dxa" w:w="100"/>
              <w:left w:type="dxa" w:w="180"/>
              <w:bottom w:type="dxa" w:w="100"/>
              <w:right w:type="dxa" w:w="180"/>
            </w:tcMar>
          </w:tcPr>
          <w:p>
            <w:pPr>
              <w:spacing w:before="0" w:after="0"/>
            </w:pPr>
            <w:r>
              <w:rPr>
                <w:rFonts w:ascii="Arial" w:cs="Arial" w:eastAsia="Arial" w:hAnsi="Arial"/>
                <w:b/>
                <w:bCs/>
                <w:color w:val="FFFFFF"/>
                <w:sz w:val="26"/>
                <w:szCs w:val="26"/>
              </w:rPr>
              <w:t xml:space="preserve">1.  Purpose of This Document</w:t>
            </w:r>
          </w:p>
        </w:tc>
      </w:tr>
    </w:tbl>
    <w:p>
      <w:pPr>
        <w:spacing w:before="0" w:after="160"/>
      </w:pPr>
    </w:p>
    <w:p>
      <w:pPr>
        <w:spacing w:before="20" w:after="100"/>
      </w:pPr>
      <w:r>
        <w:rPr>
          <w:rFonts w:ascii="Arial" w:cs="Arial" w:eastAsia="Arial" w:hAnsi="Arial"/>
          <w:color w:val="1A1A2E"/>
          <w:sz w:val="22"/>
          <w:szCs w:val="22"/>
        </w:rPr>
        <w:t xml:space="preserve">This document provides information about GLP-1 receptor agonist medications prescribed at Revive Low T Clinic for weight management. Please read it fully and ask your clinician any questions before signing. You may withdraw consent and stop treatment at any time.</w:t>
      </w:r>
    </w:p>
    <w:p>
      <w:pPr>
        <w:spacing w:before="0" w:after="100"/>
      </w:pPr>
    </w:p>
    <w:p>
      <w:pPr>
        <w:spacing w:before="20" w:after="100"/>
      </w:pPr>
      <w:r>
        <w:rPr>
          <w:rFonts w:ascii="Arial" w:cs="Arial" w:eastAsia="Arial" w:hAnsi="Arial"/>
          <w:color w:val="1A1A2E"/>
          <w:sz w:val="22"/>
          <w:szCs w:val="22"/>
        </w:rPr>
        <w:t xml:space="preserve">Obesity is a chronic, relapsing medical condition associated with increased risk of type 2 diabetes, cardiovascular disease, obstructive sleep apnea, osteoarthritis, and several cancers. Pharmacological treatment, in conjunction with lifestyle modification, is evidence-based and recognised by major medical organisations including the American Association of Clinical Endocrinology and the Obesity Medicine Association.</w:t>
      </w:r>
    </w:p>
    <w:p>
      <w:pPr>
        <w:spacing w:before="0" w:after="100"/>
      </w:pPr>
    </w:p>
    <w:tbl>
      <w:tblPr>
        <w:tblW w:type="dxa" w:w="9360"/>
        <w:tblBorders>
          <w:top w:val="none" w:color="FFFFFF" w:sz="0"/>
          <w:left w:val="single" w:color="1A7A8C" w:sz="16"/>
          <w:bottom w:val="none" w:color="FFFFFF" w:sz="0"/>
          <w:right w:val="none" w:color="FFFFFF" w:sz="0"/>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EAF4F8" w:val="clear"/>
            <w:tcMar>
              <w:top w:type="dxa" w:w="60"/>
              <w:left w:type="dxa" w:w="140"/>
              <w:bottom w:type="dxa" w:w="0"/>
              <w:right w:type="dxa" w:w="140"/>
            </w:tcMar>
          </w:tcPr>
          <w:p>
            <w:pPr>
              <w:spacing w:before="0" w:after="40"/>
            </w:pPr>
            <w:r>
              <w:rPr>
                <w:rFonts w:ascii="Arial" w:cs="Arial" w:eastAsia="Arial" w:hAnsi="Arial"/>
                <w:b/>
                <w:bCs/>
                <w:color w:val="1A7A8C"/>
                <w:sz w:val="20"/>
                <w:szCs w:val="20"/>
              </w:rPr>
              <w:t xml:space="preserve">Weight Loss at Revive</w:t>
            </w:r>
          </w:p>
        </w:tc>
      </w:tr>
      <w:tr>
        <w:tc>
          <w:tcPr>
            <w:tcW w:type="dxa" w:w="9360"/>
            <w:tcBorders>
              <w:top w:val="none" w:color="FFFFFF" w:sz="0"/>
              <w:left w:val="none" w:color="FFFFFF" w:sz="0"/>
              <w:bottom w:val="none" w:color="FFFFFF" w:sz="0"/>
              <w:right w:val="none" w:color="FFFFFF" w:sz="0"/>
            </w:tcBorders>
            <w:shd w:fill="EAF4F8" w:val="clear"/>
            <w:tcMar>
              <w:top w:type="dxa" w:w="0"/>
              <w:left w:type="dxa" w:w="140"/>
              <w:bottom w:type="dxa" w:w="80"/>
              <w:right w:type="dxa" w:w="140"/>
            </w:tcMar>
          </w:tcPr>
          <w:p>
            <w:pPr>
              <w:spacing w:before="0" w:after="0"/>
            </w:pPr>
            <w:r>
              <w:rPr>
                <w:rFonts w:ascii="Arial" w:cs="Arial" w:eastAsia="Arial" w:hAnsi="Arial"/>
                <w:color w:val="1A1A2E"/>
                <w:sz w:val="20"/>
                <w:szCs w:val="20"/>
              </w:rPr>
              <w:t xml:space="preserve">GLP-1 medications are most effective when used as part of a comprehensive approach that includes dietary modification, physical activity, and behavioural strategies. Your clinician will discuss realistic expectations and support you in building sustainable habits alongside medication. Medication alone, without lifestyle changes, produces significantly less and less durable weight loss.</w:t>
            </w:r>
          </w:p>
        </w:tc>
      </w:tr>
    </w:tbl>
    <w:p>
      <w:pPr>
        <w:spacing w:before="0" w:after="20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1A7A8C" w:sz="1"/>
              <w:left w:val="single" w:color="1A7A8C" w:sz="1"/>
              <w:bottom w:val="single" w:color="1A7A8C" w:sz="1"/>
              <w:right w:val="single" w:color="1A7A8C" w:sz="1"/>
            </w:tcBorders>
            <w:shd w:fill="1B3A6B" w:val="clear"/>
            <w:tcMar>
              <w:top w:type="dxa" w:w="100"/>
              <w:left w:type="dxa" w:w="180"/>
              <w:bottom w:type="dxa" w:w="100"/>
              <w:right w:type="dxa" w:w="180"/>
            </w:tcMar>
          </w:tcPr>
          <w:p>
            <w:pPr>
              <w:spacing w:before="0" w:after="0"/>
            </w:pPr>
            <w:r>
              <w:rPr>
                <w:rFonts w:ascii="Arial" w:cs="Arial" w:eastAsia="Arial" w:hAnsi="Arial"/>
                <w:b/>
                <w:bCs/>
                <w:color w:val="FFFFFF"/>
                <w:sz w:val="26"/>
                <w:szCs w:val="26"/>
              </w:rPr>
              <w:t xml:space="preserve">2.  Who Is a Candidate?</w:t>
            </w:r>
          </w:p>
        </w:tc>
      </w:tr>
    </w:tbl>
    <w:p>
      <w:pPr>
        <w:spacing w:before="0" w:after="160"/>
      </w:pPr>
    </w:p>
    <w:p>
      <w:pPr>
        <w:spacing w:before="20" w:after="100"/>
      </w:pPr>
      <w:r>
        <w:rPr>
          <w:rFonts w:ascii="Arial" w:cs="Arial" w:eastAsia="Arial" w:hAnsi="Arial"/>
          <w:color w:val="1A1A2E"/>
          <w:sz w:val="22"/>
          <w:szCs w:val="22"/>
        </w:rPr>
        <w:t xml:space="preserve">GLP-1 medications are generally considered appropriate for adults who meet one of the following criteria:</w:t>
      </w:r>
    </w:p>
    <w:p>
      <w:pPr>
        <w:spacing w:before="0" w:after="80"/>
      </w:pPr>
    </w:p>
    <w:p>
      <w:pPr>
        <w:pStyle w:val="ListParagraph"/>
        <w:numPr>
          <w:ilvl w:val="0"/>
          <w:numId w:val="2"/>
        </w:numPr>
        <w:spacing w:before="20" w:after="60"/>
      </w:pPr>
      <w:r>
        <w:rPr>
          <w:rFonts w:ascii="Arial" w:cs="Arial" w:eastAsia="Arial" w:hAnsi="Arial"/>
          <w:color w:val="1A1A2E"/>
          <w:sz w:val="22"/>
          <w:szCs w:val="22"/>
        </w:rPr>
        <w:t xml:space="preserve">Body mass index (BMI) ≥30 kg/m² (obesity) regardless of comorbidities, OR</w:t>
      </w:r>
    </w:p>
    <w:p>
      <w:pPr>
        <w:pStyle w:val="ListParagraph"/>
        <w:numPr>
          <w:ilvl w:val="0"/>
          <w:numId w:val="2"/>
        </w:numPr>
        <w:spacing w:before="20" w:after="60"/>
      </w:pPr>
      <w:r>
        <w:rPr>
          <w:rFonts w:ascii="Arial" w:cs="Arial" w:eastAsia="Arial" w:hAnsi="Arial"/>
          <w:color w:val="1A1A2E"/>
          <w:sz w:val="22"/>
          <w:szCs w:val="22"/>
        </w:rPr>
        <w:t xml:space="preserve">BMI ≥27 kg/m² (overweight) with at least one weight-related comorbidity such as hypertension, type 2 diabetes, dyslipidaemia, or obstructive sleep apnoea</w:t>
      </w:r>
    </w:p>
    <w:p>
      <w:pPr>
        <w:spacing w:before="0" w:after="100"/>
      </w:pPr>
    </w:p>
    <w:p>
      <w:pPr>
        <w:spacing w:before="20" w:after="100"/>
      </w:pPr>
      <w:r>
        <w:rPr>
          <w:rFonts w:ascii="Arial" w:cs="Arial" w:eastAsia="Arial" w:hAnsi="Arial"/>
          <w:color w:val="1A1A2E"/>
          <w:sz w:val="22"/>
          <w:szCs w:val="22"/>
        </w:rPr>
        <w:t xml:space="preserve">Your clinician will review your full health history, current medications, and lab results before prescribing. Some conditions require additional evaluation or modification of the treatment approach.</w:t>
      </w:r>
    </w:p>
    <w:p>
      <w:pPr>
        <w:spacing w:before="0" w:after="20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1A7A8C" w:sz="1"/>
              <w:left w:val="single" w:color="1A7A8C" w:sz="1"/>
              <w:bottom w:val="single" w:color="1A7A8C" w:sz="1"/>
              <w:right w:val="single" w:color="1A7A8C" w:sz="1"/>
            </w:tcBorders>
            <w:shd w:fill="1B3A6B" w:val="clear"/>
            <w:tcMar>
              <w:top w:type="dxa" w:w="100"/>
              <w:left w:type="dxa" w:w="180"/>
              <w:bottom w:type="dxa" w:w="100"/>
              <w:right w:type="dxa" w:w="180"/>
            </w:tcMar>
          </w:tcPr>
          <w:p>
            <w:pPr>
              <w:spacing w:before="0" w:after="0"/>
            </w:pPr>
            <w:r>
              <w:rPr>
                <w:rFonts w:ascii="Arial" w:cs="Arial" w:eastAsia="Arial" w:hAnsi="Arial"/>
                <w:b/>
                <w:bCs/>
                <w:color w:val="FFFFFF"/>
                <w:sz w:val="26"/>
                <w:szCs w:val="26"/>
              </w:rPr>
              <w:t xml:space="preserve">3.  Semaglutide (Ozempic® / Wegovy®)</w:t>
            </w:r>
          </w:p>
        </w:tc>
      </w:tr>
    </w:tbl>
    <w:p>
      <w:pPr>
        <w:spacing w:before="0" w:after="160"/>
      </w:pPr>
    </w:p>
    <w:p>
      <w:pPr>
        <w:spacing w:before="20" w:after="100"/>
      </w:pPr>
      <w:r>
        <w:rPr>
          <w:rFonts w:ascii="Arial" w:cs="Arial" w:eastAsia="Arial" w:hAnsi="Arial"/>
          <w:color w:val="1A1A2E"/>
          <w:sz w:val="22"/>
          <w:szCs w:val="22"/>
        </w:rPr>
        <w:t xml:space="preserve">Semaglutide is a GLP-1 (glucagon-like peptide-1) receptor agonist. It is FDA-approved for weight management under the brand name Wegovy® and for type 2 diabetes under the brand name Ozempic®. Compounded semaglutide has been widely used during brand drug shortages and may continue to be available through licensed compounding pharmacies; regulatory status of compounded semaglutide is evolving.</w:t>
      </w:r>
    </w:p>
    <w:p>
      <w:pPr>
        <w:spacing w:before="0" w:after="120"/>
      </w:pPr>
    </w:p>
    <w:p>
      <w:pPr>
        <w:pStyle w:val="Heading3"/>
        <w:spacing w:before="100" w:after="60"/>
      </w:pPr>
      <w:r>
        <w:rPr>
          <w:rFonts w:ascii="Arial" w:cs="Arial" w:eastAsia="Arial" w:hAnsi="Arial"/>
          <w:b/>
          <w:bCs/>
          <w:color w:val="1B3A6B"/>
          <w:sz w:val="22"/>
          <w:szCs w:val="22"/>
        </w:rPr>
        <w:t xml:space="preserve">Mechanism</w:t>
      </w:r>
    </w:p>
    <w:p>
      <w:pPr>
        <w:spacing w:before="20" w:after="100"/>
      </w:pPr>
      <w:r>
        <w:rPr>
          <w:rFonts w:ascii="Arial" w:cs="Arial" w:eastAsia="Arial" w:hAnsi="Arial"/>
          <w:color w:val="1A1A2E"/>
          <w:sz w:val="22"/>
          <w:szCs w:val="22"/>
        </w:rPr>
        <w:t xml:space="preserve">Semaglutide mimics GLP-1, a naturally occurring gut hormone. It reduces hunger by acting on appetite centres in the brain (hypothalamus), slows gastric emptying (food stays in the stomach longer, increasing fullness), reduces glucagon secretion, and improves insulin sensitivity. The net effect is significantly reduced caloric intake with less perceived effort.</w:t>
      </w:r>
    </w:p>
    <w:p>
      <w:pPr>
        <w:spacing w:before="0" w:after="100"/>
      </w:pPr>
    </w:p>
    <w:p>
      <w:pPr>
        <w:pStyle w:val="Heading3"/>
        <w:spacing w:before="100" w:after="60"/>
      </w:pPr>
      <w:r>
        <w:rPr>
          <w:rFonts w:ascii="Arial" w:cs="Arial" w:eastAsia="Arial" w:hAnsi="Arial"/>
          <w:b/>
          <w:bCs/>
          <w:color w:val="1B3A6B"/>
          <w:sz w:val="22"/>
          <w:szCs w:val="22"/>
        </w:rPr>
        <w:t xml:space="preserve">Dosing — Standard Escalation Protocol</w:t>
      </w:r>
    </w:p>
    <w:p>
      <w:pPr>
        <w:spacing w:before="20" w:after="100"/>
      </w:pPr>
      <w:r>
        <w:rPr>
          <w:rFonts w:ascii="Arial" w:cs="Arial" w:eastAsia="Arial" w:hAnsi="Arial"/>
          <w:color w:val="1A1A2E"/>
          <w:sz w:val="22"/>
          <w:szCs w:val="22"/>
        </w:rPr>
        <w:t xml:space="preserve">Doses are escalated gradually over several weeks to minimise gastrointestinal side effects. Typical escalation:</w:t>
      </w:r>
    </w:p>
    <w:p>
      <w:pPr>
        <w:spacing w:before="0" w:after="80"/>
      </w:pPr>
    </w:p>
    <w:p>
      <w:pPr>
        <w:pStyle w:val="ListParagraph"/>
        <w:numPr>
          <w:ilvl w:val="0"/>
          <w:numId w:val="2"/>
        </w:numPr>
        <w:spacing w:before="20" w:after="60"/>
      </w:pPr>
      <w:r>
        <w:rPr>
          <w:rFonts w:ascii="Arial" w:cs="Arial" w:eastAsia="Arial" w:hAnsi="Arial"/>
          <w:color w:val="1A1A2E"/>
          <w:sz w:val="22"/>
          <w:szCs w:val="22"/>
        </w:rPr>
        <w:t xml:space="preserve">Weeks 1–4: 0.25 mg once weekly (SQ injection)</w:t>
      </w:r>
    </w:p>
    <w:p>
      <w:pPr>
        <w:pStyle w:val="ListParagraph"/>
        <w:numPr>
          <w:ilvl w:val="0"/>
          <w:numId w:val="2"/>
        </w:numPr>
        <w:spacing w:before="20" w:after="60"/>
      </w:pPr>
      <w:r>
        <w:rPr>
          <w:rFonts w:ascii="Arial" w:cs="Arial" w:eastAsia="Arial" w:hAnsi="Arial"/>
          <w:color w:val="1A1A2E"/>
          <w:sz w:val="22"/>
          <w:szCs w:val="22"/>
        </w:rPr>
        <w:t xml:space="preserve">Weeks 5–8: 0.5 mg once weekly</w:t>
      </w:r>
    </w:p>
    <w:p>
      <w:pPr>
        <w:pStyle w:val="ListParagraph"/>
        <w:numPr>
          <w:ilvl w:val="0"/>
          <w:numId w:val="2"/>
        </w:numPr>
        <w:spacing w:before="20" w:after="60"/>
      </w:pPr>
      <w:r>
        <w:rPr>
          <w:rFonts w:ascii="Arial" w:cs="Arial" w:eastAsia="Arial" w:hAnsi="Arial"/>
          <w:color w:val="1A1A2E"/>
          <w:sz w:val="22"/>
          <w:szCs w:val="22"/>
        </w:rPr>
        <w:t xml:space="preserve">Weeks 9–12: 1.0 mg once weekly</w:t>
      </w:r>
    </w:p>
    <w:p>
      <w:pPr>
        <w:pStyle w:val="ListParagraph"/>
        <w:numPr>
          <w:ilvl w:val="0"/>
          <w:numId w:val="2"/>
        </w:numPr>
        <w:spacing w:before="20" w:after="60"/>
      </w:pPr>
      <w:r>
        <w:rPr>
          <w:rFonts w:ascii="Arial" w:cs="Arial" w:eastAsia="Arial" w:hAnsi="Arial"/>
          <w:color w:val="1A1A2E"/>
          <w:sz w:val="22"/>
          <w:szCs w:val="22"/>
        </w:rPr>
        <w:t xml:space="preserve">Weeks 13–16: 1.7 mg once weekly (if continuing toward Wegovy dosing)</w:t>
      </w:r>
    </w:p>
    <w:p>
      <w:pPr>
        <w:pStyle w:val="ListParagraph"/>
        <w:numPr>
          <w:ilvl w:val="0"/>
          <w:numId w:val="2"/>
        </w:numPr>
        <w:spacing w:before="20" w:after="60"/>
      </w:pPr>
      <w:r>
        <w:rPr>
          <w:rFonts w:ascii="Arial" w:cs="Arial" w:eastAsia="Arial" w:hAnsi="Arial"/>
          <w:color w:val="1A1A2E"/>
          <w:sz w:val="22"/>
          <w:szCs w:val="22"/>
        </w:rPr>
        <w:t xml:space="preserve">Week 17+: 2.4 mg once weekly (maximum Wegovy dose)</w:t>
      </w:r>
    </w:p>
    <w:p>
      <w:pPr>
        <w:spacing w:before="0" w:after="100"/>
      </w:pPr>
    </w:p>
    <w:p>
      <w:pPr>
        <w:spacing w:before="20" w:after="100"/>
      </w:pPr>
      <w:r>
        <w:rPr>
          <w:rFonts w:ascii="Arial" w:cs="Arial" w:eastAsia="Arial" w:hAnsi="Arial"/>
          <w:color w:val="1A1A2E"/>
          <w:sz w:val="22"/>
          <w:szCs w:val="22"/>
        </w:rPr>
        <w:t xml:space="preserve">Your clinician may pause or reverse the escalation at any point if side effects are intolerable. Not all patients need to reach maximum dose for meaningful weight loss.</w:t>
      </w:r>
    </w:p>
    <w:p>
      <w:pPr>
        <w:spacing w:before="0" w:after="120"/>
      </w:pPr>
    </w:p>
    <w:p>
      <w:pPr>
        <w:pStyle w:val="Heading3"/>
        <w:spacing w:before="100" w:after="60"/>
      </w:pPr>
      <w:r>
        <w:rPr>
          <w:rFonts w:ascii="Arial" w:cs="Arial" w:eastAsia="Arial" w:hAnsi="Arial"/>
          <w:b/>
          <w:bCs/>
          <w:color w:val="1B3A6B"/>
          <w:sz w:val="22"/>
          <w:szCs w:val="22"/>
        </w:rPr>
        <w:t xml:space="preserve">Expected Weight Loss</w:t>
      </w:r>
    </w:p>
    <w:p>
      <w:pPr>
        <w:spacing w:before="20" w:after="100"/>
      </w:pPr>
      <w:r>
        <w:rPr>
          <w:rFonts w:ascii="Arial" w:cs="Arial" w:eastAsia="Arial" w:hAnsi="Arial"/>
          <w:color w:val="1A1A2E"/>
          <w:sz w:val="22"/>
          <w:szCs w:val="22"/>
        </w:rPr>
        <w:t xml:space="preserve">Clinical trial data (STEP trials):</w:t>
      </w:r>
    </w:p>
    <w:p>
      <w:pPr>
        <w:spacing w:before="0" w:after="80"/>
      </w:pPr>
    </w:p>
    <w:p>
      <w:pPr>
        <w:pStyle w:val="ListParagraph"/>
        <w:numPr>
          <w:ilvl w:val="0"/>
          <w:numId w:val="2"/>
        </w:numPr>
        <w:spacing w:before="20" w:after="60"/>
      </w:pPr>
      <w:r>
        <w:rPr>
          <w:rFonts w:ascii="Arial" w:cs="Arial" w:eastAsia="Arial" w:hAnsi="Arial"/>
          <w:color w:val="1A1A2E"/>
          <w:sz w:val="22"/>
          <w:szCs w:val="22"/>
        </w:rPr>
        <w:t xml:space="preserve">STEP 1 (non-diabetic): average 14.9% body weight loss at 68 weeks (2.4 mg semaglutide vs 2.4% placebo)</w:t>
      </w:r>
    </w:p>
    <w:p>
      <w:pPr>
        <w:pStyle w:val="ListParagraph"/>
        <w:numPr>
          <w:ilvl w:val="0"/>
          <w:numId w:val="2"/>
        </w:numPr>
        <w:spacing w:before="20" w:after="60"/>
      </w:pPr>
      <w:r>
        <w:rPr>
          <w:rFonts w:ascii="Arial" w:cs="Arial" w:eastAsia="Arial" w:hAnsi="Arial"/>
          <w:color w:val="1A1A2E"/>
          <w:sz w:val="22"/>
          <w:szCs w:val="22"/>
        </w:rPr>
        <w:t xml:space="preserve">STEP 2 (type 2 diabetes): average 9.6% body weight loss at 68 weeks</w:t>
      </w:r>
    </w:p>
    <w:p>
      <w:pPr>
        <w:pStyle w:val="ListParagraph"/>
        <w:numPr>
          <w:ilvl w:val="0"/>
          <w:numId w:val="2"/>
        </w:numPr>
        <w:spacing w:before="20" w:after="60"/>
      </w:pPr>
      <w:r>
        <w:rPr>
          <w:rFonts w:ascii="Arial" w:cs="Arial" w:eastAsia="Arial" w:hAnsi="Arial"/>
          <w:color w:val="1A1A2E"/>
          <w:sz w:val="22"/>
          <w:szCs w:val="22"/>
        </w:rPr>
        <w:t xml:space="preserve">~35% of non-diabetic patients achieved ≥20% weight loss in STEP 1</w:t>
      </w:r>
    </w:p>
    <w:p>
      <w:pPr>
        <w:spacing w:before="0" w:after="100"/>
      </w:pPr>
    </w:p>
    <w:tbl>
      <w:tblPr>
        <w:tblW w:type="dxa" w:w="9360"/>
        <w:tblBorders>
          <w:top w:val="none" w:color="FFFFFF" w:sz="0"/>
          <w:left w:val="single" w:color="D4860A" w:sz="16"/>
          <w:bottom w:val="none" w:color="FFFFFF" w:sz="0"/>
          <w:right w:val="none" w:color="FFFFFF" w:sz="0"/>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FEF9E7" w:val="clear"/>
            <w:tcMar>
              <w:top w:type="dxa" w:w="60"/>
              <w:left w:type="dxa" w:w="140"/>
              <w:bottom w:type="dxa" w:w="0"/>
              <w:right w:type="dxa" w:w="140"/>
            </w:tcMar>
          </w:tcPr>
          <w:p>
            <w:pPr>
              <w:spacing w:before="0" w:after="40"/>
            </w:pPr>
            <w:r>
              <w:rPr>
                <w:rFonts w:ascii="Arial" w:cs="Arial" w:eastAsia="Arial" w:hAnsi="Arial"/>
                <w:b/>
                <w:bCs/>
                <w:color w:val="D4860A"/>
                <w:sz w:val="20"/>
                <w:szCs w:val="20"/>
              </w:rPr>
              <w:t xml:space="preserve">Weight Regain After Stopping</w:t>
            </w:r>
          </w:p>
        </w:tc>
      </w:tr>
      <w:tr>
        <w:tc>
          <w:tcPr>
            <w:tcW w:type="dxa" w:w="9360"/>
            <w:tcBorders>
              <w:top w:val="none" w:color="FFFFFF" w:sz="0"/>
              <w:left w:val="none" w:color="FFFFFF" w:sz="0"/>
              <w:bottom w:val="none" w:color="FFFFFF" w:sz="0"/>
              <w:right w:val="none" w:color="FFFFFF" w:sz="0"/>
            </w:tcBorders>
            <w:shd w:fill="FEF9E7" w:val="clear"/>
            <w:tcMar>
              <w:top w:type="dxa" w:w="0"/>
              <w:left w:type="dxa" w:w="140"/>
              <w:bottom w:type="dxa" w:w="80"/>
              <w:right w:type="dxa" w:w="140"/>
            </w:tcMar>
          </w:tcPr>
          <w:p>
            <w:pPr>
              <w:spacing w:before="0" w:after="0"/>
            </w:pPr>
            <w:r>
              <w:rPr>
                <w:rFonts w:ascii="Arial" w:cs="Arial" w:eastAsia="Arial" w:hAnsi="Arial"/>
                <w:color w:val="1A1A2E"/>
                <w:sz w:val="20"/>
                <w:szCs w:val="20"/>
              </w:rPr>
              <w:t xml:space="preserve">Clinical trials demonstrate that most of the weight lost with semaglutide is regained within 1–2 years of stopping the medication. This reflects obesity's nature as a chronic condition requiring ongoing management. Long-term or indefinite therapy may be needed to maintain results. Your clinician will discuss the evidence and your options at every visit.</w:t>
            </w:r>
          </w:p>
        </w:tc>
      </w:tr>
    </w:tbl>
    <w:p>
      <w:pPr>
        <w:spacing w:before="0" w:after="120"/>
      </w:pPr>
    </w:p>
    <w:p>
      <w:pPr>
        <w:pStyle w:val="Heading3"/>
        <w:spacing w:before="100" w:after="60"/>
      </w:pPr>
      <w:r>
        <w:rPr>
          <w:rFonts w:ascii="Arial" w:cs="Arial" w:eastAsia="Arial" w:hAnsi="Arial"/>
          <w:b/>
          <w:bCs/>
          <w:color w:val="1B3A6B"/>
          <w:sz w:val="22"/>
          <w:szCs w:val="22"/>
        </w:rPr>
        <w:t xml:space="preserve">Side Effects &amp; Risks</w:t>
      </w:r>
    </w:p>
    <w:p>
      <w:pPr>
        <w:pStyle w:val="ListParagraph"/>
        <w:numPr>
          <w:ilvl w:val="0"/>
          <w:numId w:val="2"/>
        </w:numPr>
        <w:spacing w:before="20" w:after="60"/>
      </w:pPr>
      <w:r>
        <w:rPr>
          <w:rFonts w:ascii="Arial" w:cs="Arial" w:eastAsia="Arial" w:hAnsi="Arial"/>
          <w:color w:val="1A1A2E"/>
          <w:sz w:val="22"/>
          <w:szCs w:val="22"/>
        </w:rPr>
        <w:t xml:space="preserve">Gastrointestinal (most common): nausea, vomiting, diarrhoea, constipation, abdominal pain — most pronounced during dose escalation and usually improves after several weeks</w:t>
      </w:r>
    </w:p>
    <w:p>
      <w:pPr>
        <w:pStyle w:val="ListParagraph"/>
        <w:numPr>
          <w:ilvl w:val="0"/>
          <w:numId w:val="2"/>
        </w:numPr>
        <w:spacing w:before="20" w:after="60"/>
      </w:pPr>
      <w:r>
        <w:rPr>
          <w:rFonts w:ascii="Arial" w:cs="Arial" w:eastAsia="Arial" w:hAnsi="Arial"/>
          <w:color w:val="1A1A2E"/>
          <w:sz w:val="22"/>
          <w:szCs w:val="22"/>
        </w:rPr>
        <w:t xml:space="preserve">Decreased appetite / reduced food intake — desired effect but may cause inadequate protein intake; dietary protein priority is important</w:t>
      </w:r>
    </w:p>
    <w:p>
      <w:pPr>
        <w:pStyle w:val="ListParagraph"/>
        <w:numPr>
          <w:ilvl w:val="0"/>
          <w:numId w:val="2"/>
        </w:numPr>
        <w:spacing w:before="20" w:after="60"/>
      </w:pPr>
      <w:r>
        <w:rPr>
          <w:rFonts w:ascii="Arial" w:cs="Arial" w:eastAsia="Arial" w:hAnsi="Arial"/>
          <w:color w:val="1A1A2E"/>
          <w:sz w:val="22"/>
          <w:szCs w:val="22"/>
        </w:rPr>
        <w:t xml:space="preserve">Fatigue, especially early in treatment</w:t>
      </w:r>
    </w:p>
    <w:p>
      <w:pPr>
        <w:pStyle w:val="ListParagraph"/>
        <w:numPr>
          <w:ilvl w:val="0"/>
          <w:numId w:val="2"/>
        </w:numPr>
        <w:spacing w:before="20" w:after="60"/>
      </w:pPr>
      <w:r>
        <w:rPr>
          <w:rFonts w:ascii="Arial" w:cs="Arial" w:eastAsia="Arial" w:hAnsi="Arial"/>
          <w:color w:val="1A1A2E"/>
          <w:sz w:val="22"/>
          <w:szCs w:val="22"/>
        </w:rPr>
        <w:t xml:space="preserve">Injection site reactions: redness, bruising, mild pain</w:t>
      </w:r>
    </w:p>
    <w:p>
      <w:pPr>
        <w:pStyle w:val="ListParagraph"/>
        <w:numPr>
          <w:ilvl w:val="0"/>
          <w:numId w:val="2"/>
        </w:numPr>
        <w:spacing w:before="20" w:after="60"/>
      </w:pPr>
      <w:r>
        <w:rPr>
          <w:rFonts w:ascii="Arial" w:cs="Arial" w:eastAsia="Arial" w:hAnsi="Arial"/>
          <w:color w:val="1A1A2E"/>
          <w:sz w:val="22"/>
          <w:szCs w:val="22"/>
        </w:rPr>
        <w:t xml:space="preserve">Headache</w:t>
      </w:r>
    </w:p>
    <w:p>
      <w:pPr>
        <w:pStyle w:val="ListParagraph"/>
        <w:numPr>
          <w:ilvl w:val="0"/>
          <w:numId w:val="2"/>
        </w:numPr>
        <w:spacing w:before="20" w:after="60"/>
      </w:pPr>
      <w:r>
        <w:rPr>
          <w:rFonts w:ascii="Arial" w:cs="Arial" w:eastAsia="Arial" w:hAnsi="Arial"/>
          <w:color w:val="1A1A2E"/>
          <w:sz w:val="22"/>
          <w:szCs w:val="22"/>
        </w:rPr>
        <w:t xml:space="preserve">Dizziness or light-headedness (may relate to reduced caloric intake)</w:t>
      </w:r>
    </w:p>
    <w:p>
      <w:pPr>
        <w:pStyle w:val="ListParagraph"/>
        <w:numPr>
          <w:ilvl w:val="0"/>
          <w:numId w:val="2"/>
        </w:numPr>
        <w:spacing w:before="20" w:after="60"/>
      </w:pPr>
      <w:r>
        <w:rPr>
          <w:rFonts w:ascii="Arial" w:cs="Arial" w:eastAsia="Arial" w:hAnsi="Arial"/>
          <w:color w:val="1A1A2E"/>
          <w:sz w:val="22"/>
          <w:szCs w:val="22"/>
        </w:rPr>
        <w:t xml:space="preserve">Hair thinning (telogen effluvium) with rapid weight loss — usually temporary</w:t>
      </w:r>
    </w:p>
    <w:p>
      <w:pPr>
        <w:pStyle w:val="ListParagraph"/>
        <w:numPr>
          <w:ilvl w:val="0"/>
          <w:numId w:val="2"/>
        </w:numPr>
        <w:spacing w:before="20" w:after="60"/>
      </w:pPr>
      <w:r>
        <w:rPr>
          <w:rFonts w:ascii="Arial" w:cs="Arial" w:eastAsia="Arial" w:hAnsi="Arial"/>
          <w:color w:val="1A1A2E"/>
          <w:sz w:val="22"/>
          <w:szCs w:val="22"/>
        </w:rPr>
        <w:t xml:space="preserve">Muscle mass loss — weight loss from any cause includes some lean mass; resistance exercise strongly recommended</w:t>
      </w:r>
    </w:p>
    <w:p>
      <w:pPr>
        <w:pStyle w:val="ListParagraph"/>
        <w:numPr>
          <w:ilvl w:val="0"/>
          <w:numId w:val="2"/>
        </w:numPr>
        <w:spacing w:before="20" w:after="60"/>
      </w:pPr>
      <w:r>
        <w:rPr>
          <w:rFonts w:ascii="Arial" w:cs="Arial" w:eastAsia="Arial" w:hAnsi="Arial"/>
          <w:color w:val="1A1A2E"/>
          <w:sz w:val="22"/>
          <w:szCs w:val="22"/>
        </w:rPr>
        <w:t xml:space="preserve">Gallstones — rapid weight loss increases gallstone risk; notify clinician of right upper quadrant pain</w:t>
      </w:r>
    </w:p>
    <w:p>
      <w:pPr>
        <w:pStyle w:val="ListParagraph"/>
        <w:numPr>
          <w:ilvl w:val="0"/>
          <w:numId w:val="2"/>
        </w:numPr>
        <w:spacing w:before="20" w:after="60"/>
      </w:pPr>
      <w:r>
        <w:rPr>
          <w:rFonts w:ascii="Arial" w:cs="Arial" w:eastAsia="Arial" w:hAnsi="Arial"/>
          <w:color w:val="1A1A2E"/>
          <w:sz w:val="22"/>
          <w:szCs w:val="22"/>
        </w:rPr>
        <w:t xml:space="preserve">Pancreatitis (rare but serious) — notify clinician immediately if severe, persistent abdominal pain develops</w:t>
      </w:r>
    </w:p>
    <w:p>
      <w:pPr>
        <w:pStyle w:val="ListParagraph"/>
        <w:numPr>
          <w:ilvl w:val="0"/>
          <w:numId w:val="2"/>
        </w:numPr>
        <w:spacing w:before="20" w:after="60"/>
      </w:pPr>
      <w:r>
        <w:rPr>
          <w:rFonts w:ascii="Arial" w:cs="Arial" w:eastAsia="Arial" w:hAnsi="Arial"/>
          <w:color w:val="1A1A2E"/>
          <w:sz w:val="22"/>
          <w:szCs w:val="22"/>
        </w:rPr>
        <w:t xml:space="preserve">Hypoglycaemia — uncommon unless combined with insulin or sulfonylurea</w:t>
      </w:r>
    </w:p>
    <w:p>
      <w:pPr>
        <w:spacing w:before="0" w:after="100"/>
      </w:pPr>
    </w:p>
    <w:tbl>
      <w:tblPr>
        <w:tblW w:type="dxa" w:w="9360"/>
        <w:tblBorders>
          <w:top w:val="none" w:color="FFFFFF" w:sz="0"/>
          <w:left w:val="single" w:color="C0392B" w:sz="16"/>
          <w:bottom w:val="none" w:color="FFFFFF" w:sz="0"/>
          <w:right w:val="none" w:color="FFFFFF" w:sz="0"/>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FDEDEC" w:val="clear"/>
            <w:tcMar>
              <w:top w:type="dxa" w:w="60"/>
              <w:left w:type="dxa" w:w="140"/>
              <w:bottom w:type="dxa" w:w="0"/>
              <w:right w:type="dxa" w:w="140"/>
            </w:tcMar>
          </w:tcPr>
          <w:p>
            <w:pPr>
              <w:spacing w:before="0" w:after="40"/>
            </w:pPr>
            <w:r>
              <w:rPr>
                <w:rFonts w:ascii="Arial" w:cs="Arial" w:eastAsia="Arial" w:hAnsi="Arial"/>
                <w:b/>
                <w:bCs/>
                <w:color w:val="C0392B"/>
                <w:sz w:val="20"/>
                <w:szCs w:val="20"/>
              </w:rPr>
              <w:t xml:space="preserve">⚠  Thyroid C-Cell Tumour Risk — Black Box Warning</w:t>
            </w:r>
          </w:p>
        </w:tc>
      </w:tr>
      <w:tr>
        <w:tc>
          <w:tcPr>
            <w:tcW w:type="dxa" w:w="9360"/>
            <w:tcBorders>
              <w:top w:val="none" w:color="FFFFFF" w:sz="0"/>
              <w:left w:val="none" w:color="FFFFFF" w:sz="0"/>
              <w:bottom w:val="none" w:color="FFFFFF" w:sz="0"/>
              <w:right w:val="none" w:color="FFFFFF" w:sz="0"/>
            </w:tcBorders>
            <w:shd w:fill="FDEDEC" w:val="clear"/>
            <w:tcMar>
              <w:top w:type="dxa" w:w="0"/>
              <w:left w:type="dxa" w:w="140"/>
              <w:bottom w:type="dxa" w:w="80"/>
              <w:right w:type="dxa" w:w="140"/>
            </w:tcMar>
          </w:tcPr>
          <w:p>
            <w:pPr>
              <w:spacing w:before="0" w:after="0"/>
            </w:pPr>
            <w:r>
              <w:rPr>
                <w:rFonts w:ascii="Arial" w:cs="Arial" w:eastAsia="Arial" w:hAnsi="Arial"/>
                <w:color w:val="1A1A2E"/>
                <w:sz w:val="20"/>
                <w:szCs w:val="20"/>
              </w:rPr>
              <w:t xml:space="preserve">Semaglutide caused thyroid C-cell tumours in rodent studies at clinically relevant exposures. Whether this risk applies to humans is unknown. Semaglutide is CONTRAINDICATED in patients with a personal or family history of medullary thyroid carcinoma (MTC) or Multiple Endocrine Neoplasia syndrome type 2 (MEN 2). Notify your clinician immediately if you develop a lump in the neck, hoarseness, difficulty swallowing, or shortness of breath.</w:t>
            </w:r>
          </w:p>
        </w:tc>
      </w:tr>
    </w:tbl>
    <w:p>
      <w:pPr>
        <w:spacing w:before="0" w:after="120"/>
      </w:pPr>
    </w:p>
    <w:p>
      <w:pPr>
        <w:pStyle w:val="Heading3"/>
        <w:spacing w:before="100" w:after="60"/>
      </w:pPr>
      <w:r>
        <w:rPr>
          <w:rFonts w:ascii="Arial" w:cs="Arial" w:eastAsia="Arial" w:hAnsi="Arial"/>
          <w:b/>
          <w:bCs/>
          <w:color w:val="1B3A6B"/>
          <w:sz w:val="22"/>
          <w:szCs w:val="22"/>
        </w:rPr>
        <w:t xml:space="preserve">Contraindications — Semaglutide</w:t>
      </w:r>
    </w:p>
    <w:p>
      <w:pPr>
        <w:pStyle w:val="ListParagraph"/>
        <w:numPr>
          <w:ilvl w:val="0"/>
          <w:numId w:val="2"/>
        </w:numPr>
        <w:spacing w:before="20" w:after="60"/>
      </w:pPr>
      <w:r>
        <w:rPr>
          <w:rFonts w:ascii="Arial" w:cs="Arial" w:eastAsia="Arial" w:hAnsi="Arial"/>
          <w:color w:val="1A1A2E"/>
          <w:sz w:val="22"/>
          <w:szCs w:val="22"/>
        </w:rPr>
        <w:t xml:space="preserve">Personal or family history of medullary thyroid carcinoma (MTC) — ABSOLUTE</w:t>
      </w:r>
    </w:p>
    <w:p>
      <w:pPr>
        <w:pStyle w:val="ListParagraph"/>
        <w:numPr>
          <w:ilvl w:val="0"/>
          <w:numId w:val="2"/>
        </w:numPr>
        <w:spacing w:before="20" w:after="60"/>
      </w:pPr>
      <w:r>
        <w:rPr>
          <w:rFonts w:ascii="Arial" w:cs="Arial" w:eastAsia="Arial" w:hAnsi="Arial"/>
          <w:color w:val="1A1A2E"/>
          <w:sz w:val="22"/>
          <w:szCs w:val="22"/>
        </w:rPr>
        <w:t xml:space="preserve">Multiple Endocrine Neoplasia syndrome type 2 (MEN 2) — ABSOLUTE</w:t>
      </w:r>
    </w:p>
    <w:p>
      <w:pPr>
        <w:pStyle w:val="ListParagraph"/>
        <w:numPr>
          <w:ilvl w:val="0"/>
          <w:numId w:val="2"/>
        </w:numPr>
        <w:spacing w:before="20" w:after="60"/>
      </w:pPr>
      <w:r>
        <w:rPr>
          <w:rFonts w:ascii="Arial" w:cs="Arial" w:eastAsia="Arial" w:hAnsi="Arial"/>
          <w:color w:val="1A1A2E"/>
          <w:sz w:val="22"/>
          <w:szCs w:val="22"/>
        </w:rPr>
        <w:t xml:space="preserve">History of pancreatitis (relative; discuss with clinician)</w:t>
      </w:r>
    </w:p>
    <w:p>
      <w:pPr>
        <w:pStyle w:val="ListParagraph"/>
        <w:numPr>
          <w:ilvl w:val="0"/>
          <w:numId w:val="2"/>
        </w:numPr>
        <w:spacing w:before="20" w:after="60"/>
      </w:pPr>
      <w:r>
        <w:rPr>
          <w:rFonts w:ascii="Arial" w:cs="Arial" w:eastAsia="Arial" w:hAnsi="Arial"/>
          <w:color w:val="1A1A2E"/>
          <w:sz w:val="22"/>
          <w:szCs w:val="22"/>
        </w:rPr>
        <w:t xml:space="preserve">Severe gastrointestinal disease (gastroparesis, inflammatory bowel disease)</w:t>
      </w:r>
    </w:p>
    <w:p>
      <w:pPr>
        <w:pStyle w:val="ListParagraph"/>
        <w:numPr>
          <w:ilvl w:val="0"/>
          <w:numId w:val="2"/>
        </w:numPr>
        <w:spacing w:before="20" w:after="60"/>
      </w:pPr>
      <w:r>
        <w:rPr>
          <w:rFonts w:ascii="Arial" w:cs="Arial" w:eastAsia="Arial" w:hAnsi="Arial"/>
          <w:color w:val="1A1A2E"/>
          <w:sz w:val="22"/>
          <w:szCs w:val="22"/>
        </w:rPr>
        <w:t xml:space="preserve">Pregnancy or planned pregnancy — GLP-1 agonists must be stopped at least 2 months before conception</w:t>
      </w:r>
    </w:p>
    <w:p>
      <w:pPr>
        <w:pStyle w:val="ListParagraph"/>
        <w:numPr>
          <w:ilvl w:val="0"/>
          <w:numId w:val="2"/>
        </w:numPr>
        <w:spacing w:before="20" w:after="60"/>
      </w:pPr>
      <w:r>
        <w:rPr>
          <w:rFonts w:ascii="Arial" w:cs="Arial" w:eastAsia="Arial" w:hAnsi="Arial"/>
          <w:color w:val="1A1A2E"/>
          <w:sz w:val="22"/>
          <w:szCs w:val="22"/>
        </w:rPr>
        <w:t xml:space="preserve">Known hypersensitivity to semaglutide</w:t>
      </w:r>
    </w:p>
    <w:p>
      <w:pPr>
        <w:spacing w:before="0" w:after="100"/>
      </w:pPr>
    </w:p>
    <w:tbl>
      <w:tblPr>
        <w:tblW w:type="dxa" w:w="9360"/>
        <w:tblBorders>
          <w:top w:val="none" w:color="FFFFFF" w:sz="0"/>
          <w:left w:val="single" w:color="D4860A" w:sz="16"/>
          <w:bottom w:val="none" w:color="FFFFFF" w:sz="0"/>
          <w:right w:val="none" w:color="FFFFFF" w:sz="0"/>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FEF9E7" w:val="clear"/>
            <w:tcMar>
              <w:top w:type="dxa" w:w="60"/>
              <w:left w:type="dxa" w:w="140"/>
              <w:bottom w:type="dxa" w:w="0"/>
              <w:right w:type="dxa" w:w="140"/>
            </w:tcMar>
          </w:tcPr>
          <w:p>
            <w:pPr>
              <w:spacing w:before="0" w:after="40"/>
            </w:pPr>
            <w:r>
              <w:rPr>
                <w:rFonts w:ascii="Arial" w:cs="Arial" w:eastAsia="Arial" w:hAnsi="Arial"/>
                <w:b/>
                <w:bCs/>
                <w:color w:val="D4860A"/>
                <w:sz w:val="20"/>
                <w:szCs w:val="20"/>
              </w:rPr>
              <w:t xml:space="preserve">Compounded vs. Brand-Name Semaglutide</w:t>
            </w:r>
          </w:p>
        </w:tc>
      </w:tr>
      <w:tr>
        <w:tc>
          <w:tcPr>
            <w:tcW w:type="dxa" w:w="9360"/>
            <w:tcBorders>
              <w:top w:val="none" w:color="FFFFFF" w:sz="0"/>
              <w:left w:val="none" w:color="FFFFFF" w:sz="0"/>
              <w:bottom w:val="none" w:color="FFFFFF" w:sz="0"/>
              <w:right w:val="none" w:color="FFFFFF" w:sz="0"/>
            </w:tcBorders>
            <w:shd w:fill="FEF9E7" w:val="clear"/>
            <w:tcMar>
              <w:top w:type="dxa" w:w="0"/>
              <w:left w:type="dxa" w:w="140"/>
              <w:bottom w:type="dxa" w:w="80"/>
              <w:right w:type="dxa" w:w="140"/>
            </w:tcMar>
          </w:tcPr>
          <w:p>
            <w:pPr>
              <w:spacing w:before="0" w:after="0"/>
            </w:pPr>
            <w:r>
              <w:rPr>
                <w:rFonts w:ascii="Arial" w:cs="Arial" w:eastAsia="Arial" w:hAnsi="Arial"/>
                <w:color w:val="1A1A2E"/>
                <w:sz w:val="20"/>
                <w:szCs w:val="20"/>
              </w:rPr>
              <w:t xml:space="preserve">Revive may prescribe compounded semaglutide during periods of brand drug shortage or when brand pricing is prohibitive. Compounded semaglutide is made by FDA-registered compounding pharmacies but is not itself FDA-approved as a finished product. Regulatory status is evolving. Your clinician will discuss current availability and any regulatory changes before prescribing.</w:t>
            </w:r>
          </w:p>
        </w:tc>
      </w:tr>
    </w:tbl>
    <w:p>
      <w:pPr>
        <w:spacing w:before="0" w:after="20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1A7A8C" w:sz="1"/>
              <w:left w:val="single" w:color="1A7A8C" w:sz="1"/>
              <w:bottom w:val="single" w:color="1A7A8C" w:sz="1"/>
              <w:right w:val="single" w:color="1A7A8C" w:sz="1"/>
            </w:tcBorders>
            <w:shd w:fill="1B3A6B" w:val="clear"/>
            <w:tcMar>
              <w:top w:type="dxa" w:w="100"/>
              <w:left w:type="dxa" w:w="180"/>
              <w:bottom w:type="dxa" w:w="100"/>
              <w:right w:type="dxa" w:w="180"/>
            </w:tcMar>
          </w:tcPr>
          <w:p>
            <w:pPr>
              <w:spacing w:before="0" w:after="0"/>
            </w:pPr>
            <w:r>
              <w:rPr>
                <w:rFonts w:ascii="Arial" w:cs="Arial" w:eastAsia="Arial" w:hAnsi="Arial"/>
                <w:b/>
                <w:bCs/>
                <w:color w:val="FFFFFF"/>
                <w:sz w:val="26"/>
                <w:szCs w:val="26"/>
              </w:rPr>
              <w:t xml:space="preserve">4.  Tirzepatide (Mounjaro® / Zepbound®)</w:t>
            </w:r>
          </w:p>
        </w:tc>
      </w:tr>
    </w:tbl>
    <w:p>
      <w:pPr>
        <w:spacing w:before="0" w:after="160"/>
      </w:pPr>
    </w:p>
    <w:p>
      <w:pPr>
        <w:spacing w:before="20" w:after="100"/>
      </w:pPr>
      <w:r>
        <w:rPr>
          <w:rFonts w:ascii="Arial" w:cs="Arial" w:eastAsia="Arial" w:hAnsi="Arial"/>
          <w:color w:val="1A1A2E"/>
          <w:sz w:val="22"/>
          <w:szCs w:val="22"/>
        </w:rPr>
        <w:t xml:space="preserve">Tirzepatide is a dual GLP-1 / GIP (glucose-dependent insulinotropic polypeptide) receptor agonist — the first medication to act on both incretin pathways simultaneously. FDA-approved for type 2 diabetes (Mounjaro®) and weight management (Zepbound®). In head-to-head comparisons, tirzepatide has demonstrated greater average weight loss than semaglutide, though individual responses vary.</w:t>
      </w:r>
    </w:p>
    <w:p>
      <w:pPr>
        <w:spacing w:before="0" w:after="120"/>
      </w:pPr>
    </w:p>
    <w:p>
      <w:pPr>
        <w:pStyle w:val="Heading3"/>
        <w:spacing w:before="100" w:after="60"/>
      </w:pPr>
      <w:r>
        <w:rPr>
          <w:rFonts w:ascii="Arial" w:cs="Arial" w:eastAsia="Arial" w:hAnsi="Arial"/>
          <w:b/>
          <w:bCs/>
          <w:color w:val="1B3A6B"/>
          <w:sz w:val="22"/>
          <w:szCs w:val="22"/>
        </w:rPr>
        <w:t xml:space="preserve">Mechanism</w:t>
      </w:r>
    </w:p>
    <w:p>
      <w:pPr>
        <w:spacing w:before="20" w:after="100"/>
      </w:pPr>
      <w:r>
        <w:rPr>
          <w:rFonts w:ascii="Arial" w:cs="Arial" w:eastAsia="Arial" w:hAnsi="Arial"/>
          <w:color w:val="1A1A2E"/>
          <w:sz w:val="22"/>
          <w:szCs w:val="22"/>
        </w:rPr>
        <w:t xml:space="preserve">Tirzepatide activates both GLP-1 receptors (appetite, gastric emptying, insulin sensitivity — same as semaglutide) and GIP receptors (additional reduction in appetite, improved insulin and glucagon response, possible direct adipocyte effects). The dual agonism is thought to produce complementary and additive effects on weight and metabolic health.</w:t>
      </w:r>
    </w:p>
    <w:p>
      <w:pPr>
        <w:spacing w:before="0" w:after="100"/>
      </w:pPr>
    </w:p>
    <w:p>
      <w:pPr>
        <w:pStyle w:val="Heading3"/>
        <w:spacing w:before="100" w:after="60"/>
      </w:pPr>
      <w:r>
        <w:rPr>
          <w:rFonts w:ascii="Arial" w:cs="Arial" w:eastAsia="Arial" w:hAnsi="Arial"/>
          <w:b/>
          <w:bCs/>
          <w:color w:val="1B3A6B"/>
          <w:sz w:val="22"/>
          <w:szCs w:val="22"/>
        </w:rPr>
        <w:t xml:space="preserve">Dosing — Standard Escalation Protocol</w:t>
      </w:r>
    </w:p>
    <w:p>
      <w:pPr>
        <w:pStyle w:val="ListParagraph"/>
        <w:numPr>
          <w:ilvl w:val="0"/>
          <w:numId w:val="2"/>
        </w:numPr>
        <w:spacing w:before="20" w:after="60"/>
      </w:pPr>
      <w:r>
        <w:rPr>
          <w:rFonts w:ascii="Arial" w:cs="Arial" w:eastAsia="Arial" w:hAnsi="Arial"/>
          <w:color w:val="1A1A2E"/>
          <w:sz w:val="22"/>
          <w:szCs w:val="22"/>
        </w:rPr>
        <w:t xml:space="preserve">Weeks 1–4: 2.5 mg once weekly (SQ injection)</w:t>
      </w:r>
    </w:p>
    <w:p>
      <w:pPr>
        <w:pStyle w:val="ListParagraph"/>
        <w:numPr>
          <w:ilvl w:val="0"/>
          <w:numId w:val="2"/>
        </w:numPr>
        <w:spacing w:before="20" w:after="60"/>
      </w:pPr>
      <w:r>
        <w:rPr>
          <w:rFonts w:ascii="Arial" w:cs="Arial" w:eastAsia="Arial" w:hAnsi="Arial"/>
          <w:color w:val="1A1A2E"/>
          <w:sz w:val="22"/>
          <w:szCs w:val="22"/>
        </w:rPr>
        <w:t xml:space="preserve">Weeks 5–8: 5 mg once weekly</w:t>
      </w:r>
    </w:p>
    <w:p>
      <w:pPr>
        <w:pStyle w:val="ListParagraph"/>
        <w:numPr>
          <w:ilvl w:val="0"/>
          <w:numId w:val="2"/>
        </w:numPr>
        <w:spacing w:before="20" w:after="60"/>
      </w:pPr>
      <w:r>
        <w:rPr>
          <w:rFonts w:ascii="Arial" w:cs="Arial" w:eastAsia="Arial" w:hAnsi="Arial"/>
          <w:color w:val="1A1A2E"/>
          <w:sz w:val="22"/>
          <w:szCs w:val="22"/>
        </w:rPr>
        <w:t xml:space="preserve">Weeks 9–12: 7.5 mg once weekly (if tolerated)</w:t>
      </w:r>
    </w:p>
    <w:p>
      <w:pPr>
        <w:pStyle w:val="ListParagraph"/>
        <w:numPr>
          <w:ilvl w:val="0"/>
          <w:numId w:val="2"/>
        </w:numPr>
        <w:spacing w:before="20" w:after="60"/>
      </w:pPr>
      <w:r>
        <w:rPr>
          <w:rFonts w:ascii="Arial" w:cs="Arial" w:eastAsia="Arial" w:hAnsi="Arial"/>
          <w:color w:val="1A1A2E"/>
          <w:sz w:val="22"/>
          <w:szCs w:val="22"/>
        </w:rPr>
        <w:t xml:space="preserve">Weeks 13–16: 10 mg once weekly (if tolerated)</w:t>
      </w:r>
    </w:p>
    <w:p>
      <w:pPr>
        <w:pStyle w:val="ListParagraph"/>
        <w:numPr>
          <w:ilvl w:val="0"/>
          <w:numId w:val="2"/>
        </w:numPr>
        <w:spacing w:before="20" w:after="60"/>
      </w:pPr>
      <w:r>
        <w:rPr>
          <w:rFonts w:ascii="Arial" w:cs="Arial" w:eastAsia="Arial" w:hAnsi="Arial"/>
          <w:color w:val="1A1A2E"/>
          <w:sz w:val="22"/>
          <w:szCs w:val="22"/>
        </w:rPr>
        <w:t xml:space="preserve">Weeks 17–20: 12.5 mg once weekly (if tolerated)</w:t>
      </w:r>
    </w:p>
    <w:p>
      <w:pPr>
        <w:pStyle w:val="ListParagraph"/>
        <w:numPr>
          <w:ilvl w:val="0"/>
          <w:numId w:val="2"/>
        </w:numPr>
        <w:spacing w:before="20" w:after="60"/>
      </w:pPr>
      <w:r>
        <w:rPr>
          <w:rFonts w:ascii="Arial" w:cs="Arial" w:eastAsia="Arial" w:hAnsi="Arial"/>
          <w:color w:val="1A1A2E"/>
          <w:sz w:val="22"/>
          <w:szCs w:val="22"/>
        </w:rPr>
        <w:t xml:space="preserve">Week 21+: 15 mg once weekly (maximum dose)</w:t>
      </w:r>
    </w:p>
    <w:p>
      <w:pPr>
        <w:spacing w:before="0" w:after="100"/>
      </w:pPr>
    </w:p>
    <w:p>
      <w:pPr>
        <w:spacing w:before="20" w:after="100"/>
      </w:pPr>
      <w:r>
        <w:rPr>
          <w:rFonts w:ascii="Arial" w:cs="Arial" w:eastAsia="Arial" w:hAnsi="Arial"/>
          <w:color w:val="1A1A2E"/>
          <w:sz w:val="22"/>
          <w:szCs w:val="22"/>
        </w:rPr>
        <w:t xml:space="preserve">As with semaglutide, dose escalation can be slowed or reversed if side effects are not manageable at a given dose.</w:t>
      </w:r>
    </w:p>
    <w:p>
      <w:pPr>
        <w:spacing w:before="0" w:after="120"/>
      </w:pPr>
    </w:p>
    <w:p>
      <w:pPr>
        <w:pStyle w:val="Heading3"/>
        <w:spacing w:before="100" w:after="60"/>
      </w:pPr>
      <w:r>
        <w:rPr>
          <w:rFonts w:ascii="Arial" w:cs="Arial" w:eastAsia="Arial" w:hAnsi="Arial"/>
          <w:b/>
          <w:bCs/>
          <w:color w:val="1B3A6B"/>
          <w:sz w:val="22"/>
          <w:szCs w:val="22"/>
        </w:rPr>
        <w:t xml:space="preserve">Expected Weight Loss</w:t>
      </w:r>
    </w:p>
    <w:p>
      <w:pPr>
        <w:spacing w:before="20" w:after="100"/>
      </w:pPr>
      <w:r>
        <w:rPr>
          <w:rFonts w:ascii="Arial" w:cs="Arial" w:eastAsia="Arial" w:hAnsi="Arial"/>
          <w:color w:val="1A1A2E"/>
          <w:sz w:val="22"/>
          <w:szCs w:val="22"/>
        </w:rPr>
        <w:t xml:space="preserve">Clinical trial data (SURMOUNT trials):</w:t>
      </w:r>
    </w:p>
    <w:p>
      <w:pPr>
        <w:spacing w:before="0" w:after="80"/>
      </w:pPr>
    </w:p>
    <w:p>
      <w:pPr>
        <w:pStyle w:val="ListParagraph"/>
        <w:numPr>
          <w:ilvl w:val="0"/>
          <w:numId w:val="2"/>
        </w:numPr>
        <w:spacing w:before="20" w:after="60"/>
      </w:pPr>
      <w:r>
        <w:rPr>
          <w:rFonts w:ascii="Arial" w:cs="Arial" w:eastAsia="Arial" w:hAnsi="Arial"/>
          <w:color w:val="1A1A2E"/>
          <w:sz w:val="22"/>
          <w:szCs w:val="22"/>
        </w:rPr>
        <w:t xml:space="preserve">SURMOUNT-1 (non-diabetic): average 20.9% body weight loss at 72 weeks (15 mg tirzepatide)</w:t>
      </w:r>
    </w:p>
    <w:p>
      <w:pPr>
        <w:pStyle w:val="ListParagraph"/>
        <w:numPr>
          <w:ilvl w:val="0"/>
          <w:numId w:val="2"/>
        </w:numPr>
        <w:spacing w:before="20" w:after="60"/>
      </w:pPr>
      <w:r>
        <w:rPr>
          <w:rFonts w:ascii="Arial" w:cs="Arial" w:eastAsia="Arial" w:hAnsi="Arial"/>
          <w:color w:val="1A1A2E"/>
          <w:sz w:val="22"/>
          <w:szCs w:val="22"/>
        </w:rPr>
        <w:t xml:space="preserve">~37% of participants on 15 mg achieved ≥25% weight loss</w:t>
      </w:r>
    </w:p>
    <w:p>
      <w:pPr>
        <w:pStyle w:val="ListParagraph"/>
        <w:numPr>
          <w:ilvl w:val="0"/>
          <w:numId w:val="2"/>
        </w:numPr>
        <w:spacing w:before="20" w:after="60"/>
      </w:pPr>
      <w:r>
        <w:rPr>
          <w:rFonts w:ascii="Arial" w:cs="Arial" w:eastAsia="Arial" w:hAnsi="Arial"/>
          <w:color w:val="1A1A2E"/>
          <w:sz w:val="22"/>
          <w:szCs w:val="22"/>
        </w:rPr>
        <w:t xml:space="preserve">SURMOUNT-2 (type 2 diabetes): average 14.7% body weight loss at 72 weeks</w:t>
      </w:r>
    </w:p>
    <w:p>
      <w:pPr>
        <w:pStyle w:val="ListParagraph"/>
        <w:numPr>
          <w:ilvl w:val="0"/>
          <w:numId w:val="2"/>
        </w:numPr>
        <w:spacing w:before="20" w:after="60"/>
      </w:pPr>
      <w:r>
        <w:rPr>
          <w:rFonts w:ascii="Arial" w:cs="Arial" w:eastAsia="Arial" w:hAnsi="Arial"/>
          <w:color w:val="1A1A2E"/>
          <w:sz w:val="22"/>
          <w:szCs w:val="22"/>
        </w:rPr>
        <w:t xml:space="preserve">In SURMOUNT-5 (direct comparison), tirzepatide produced approximately 47% more weight loss than semaglutide 2.4 mg</w:t>
      </w:r>
    </w:p>
    <w:p>
      <w:pPr>
        <w:spacing w:before="0" w:after="100"/>
      </w:pPr>
    </w:p>
    <w:tbl>
      <w:tblPr>
        <w:tblW w:type="dxa" w:w="9360"/>
        <w:tblBorders>
          <w:top w:val="none" w:color="FFFFFF" w:sz="0"/>
          <w:left w:val="single" w:color="D4860A" w:sz="16"/>
          <w:bottom w:val="none" w:color="FFFFFF" w:sz="0"/>
          <w:right w:val="none" w:color="FFFFFF" w:sz="0"/>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FEF9E7" w:val="clear"/>
            <w:tcMar>
              <w:top w:type="dxa" w:w="60"/>
              <w:left w:type="dxa" w:w="140"/>
              <w:bottom w:type="dxa" w:w="0"/>
              <w:right w:type="dxa" w:w="140"/>
            </w:tcMar>
          </w:tcPr>
          <w:p>
            <w:pPr>
              <w:spacing w:before="0" w:after="40"/>
            </w:pPr>
            <w:r>
              <w:rPr>
                <w:rFonts w:ascii="Arial" w:cs="Arial" w:eastAsia="Arial" w:hAnsi="Arial"/>
                <w:b/>
                <w:bCs/>
                <w:color w:val="D4860A"/>
                <w:sz w:val="20"/>
                <w:szCs w:val="20"/>
              </w:rPr>
              <w:t xml:space="preserve">Weight Regain After Stopping</w:t>
            </w:r>
          </w:p>
        </w:tc>
      </w:tr>
      <w:tr>
        <w:tc>
          <w:tcPr>
            <w:tcW w:type="dxa" w:w="9360"/>
            <w:tcBorders>
              <w:top w:val="none" w:color="FFFFFF" w:sz="0"/>
              <w:left w:val="none" w:color="FFFFFF" w:sz="0"/>
              <w:bottom w:val="none" w:color="FFFFFF" w:sz="0"/>
              <w:right w:val="none" w:color="FFFFFF" w:sz="0"/>
            </w:tcBorders>
            <w:shd w:fill="FEF9E7" w:val="clear"/>
            <w:tcMar>
              <w:top w:type="dxa" w:w="0"/>
              <w:left w:type="dxa" w:w="140"/>
              <w:bottom w:type="dxa" w:w="80"/>
              <w:right w:type="dxa" w:w="140"/>
            </w:tcMar>
          </w:tcPr>
          <w:p>
            <w:pPr>
              <w:spacing w:before="0" w:after="0"/>
            </w:pPr>
            <w:r>
              <w:rPr>
                <w:rFonts w:ascii="Arial" w:cs="Arial" w:eastAsia="Arial" w:hAnsi="Arial"/>
                <w:color w:val="1A1A2E"/>
                <w:sz w:val="20"/>
                <w:szCs w:val="20"/>
              </w:rPr>
              <w:t xml:space="preserve">As with semaglutide, weight is substantially regained after stopping tirzepatide. Obesity is a chronic condition and these medications are best considered long-term management tools rather than temporary interventions.</w:t>
            </w:r>
          </w:p>
        </w:tc>
      </w:tr>
    </w:tbl>
    <w:p>
      <w:pPr>
        <w:spacing w:before="0" w:after="120"/>
      </w:pPr>
    </w:p>
    <w:p>
      <w:pPr>
        <w:pStyle w:val="Heading3"/>
        <w:spacing w:before="100" w:after="60"/>
      </w:pPr>
      <w:r>
        <w:rPr>
          <w:rFonts w:ascii="Arial" w:cs="Arial" w:eastAsia="Arial" w:hAnsi="Arial"/>
          <w:b/>
          <w:bCs/>
          <w:color w:val="1B3A6B"/>
          <w:sz w:val="22"/>
          <w:szCs w:val="22"/>
        </w:rPr>
        <w:t xml:space="preserve">Side Effects &amp; Risks</w:t>
      </w:r>
    </w:p>
    <w:p>
      <w:pPr>
        <w:spacing w:before="20" w:after="100"/>
      </w:pPr>
      <w:r>
        <w:rPr>
          <w:rFonts w:ascii="Arial" w:cs="Arial" w:eastAsia="Arial" w:hAnsi="Arial"/>
          <w:color w:val="1A1A2E"/>
          <w:sz w:val="22"/>
          <w:szCs w:val="22"/>
        </w:rPr>
        <w:t xml:space="preserve">Tirzepatide has a side effect profile similar to semaglutide. The most common side effects are gastrointestinal and dose-dependent:</w:t>
      </w:r>
    </w:p>
    <w:p>
      <w:pPr>
        <w:spacing w:before="0" w:after="80"/>
      </w:pPr>
    </w:p>
    <w:p>
      <w:pPr>
        <w:pStyle w:val="ListParagraph"/>
        <w:numPr>
          <w:ilvl w:val="0"/>
          <w:numId w:val="2"/>
        </w:numPr>
        <w:spacing w:before="20" w:after="60"/>
      </w:pPr>
      <w:r>
        <w:rPr>
          <w:rFonts w:ascii="Arial" w:cs="Arial" w:eastAsia="Arial" w:hAnsi="Arial"/>
          <w:color w:val="1A1A2E"/>
          <w:sz w:val="22"/>
          <w:szCs w:val="22"/>
        </w:rPr>
        <w:t xml:space="preserve">Nausea, vomiting, diarrhoea, constipation, abdominal pain — most common during escalation</w:t>
      </w:r>
    </w:p>
    <w:p>
      <w:pPr>
        <w:pStyle w:val="ListParagraph"/>
        <w:numPr>
          <w:ilvl w:val="0"/>
          <w:numId w:val="2"/>
        </w:numPr>
        <w:spacing w:before="20" w:after="60"/>
      </w:pPr>
      <w:r>
        <w:rPr>
          <w:rFonts w:ascii="Arial" w:cs="Arial" w:eastAsia="Arial" w:hAnsi="Arial"/>
          <w:color w:val="1A1A2E"/>
          <w:sz w:val="22"/>
          <w:szCs w:val="22"/>
        </w:rPr>
        <w:t xml:space="preserve">Decreased appetite — a desired effect but adequate protein and micronutrient intake must be maintained</w:t>
      </w:r>
    </w:p>
    <w:p>
      <w:pPr>
        <w:pStyle w:val="ListParagraph"/>
        <w:numPr>
          <w:ilvl w:val="0"/>
          <w:numId w:val="2"/>
        </w:numPr>
        <w:spacing w:before="20" w:after="60"/>
      </w:pPr>
      <w:r>
        <w:rPr>
          <w:rFonts w:ascii="Arial" w:cs="Arial" w:eastAsia="Arial" w:hAnsi="Arial"/>
          <w:color w:val="1A1A2E"/>
          <w:sz w:val="22"/>
          <w:szCs w:val="22"/>
        </w:rPr>
        <w:t xml:space="preserve">Fatigue, headache, dizziness</w:t>
      </w:r>
    </w:p>
    <w:p>
      <w:pPr>
        <w:pStyle w:val="ListParagraph"/>
        <w:numPr>
          <w:ilvl w:val="0"/>
          <w:numId w:val="2"/>
        </w:numPr>
        <w:spacing w:before="20" w:after="60"/>
      </w:pPr>
      <w:r>
        <w:rPr>
          <w:rFonts w:ascii="Arial" w:cs="Arial" w:eastAsia="Arial" w:hAnsi="Arial"/>
          <w:color w:val="1A1A2E"/>
          <w:sz w:val="22"/>
          <w:szCs w:val="22"/>
        </w:rPr>
        <w:t xml:space="preserve">Injection site reactions</w:t>
      </w:r>
    </w:p>
    <w:p>
      <w:pPr>
        <w:pStyle w:val="ListParagraph"/>
        <w:numPr>
          <w:ilvl w:val="0"/>
          <w:numId w:val="2"/>
        </w:numPr>
        <w:spacing w:before="20" w:after="60"/>
      </w:pPr>
      <w:r>
        <w:rPr>
          <w:rFonts w:ascii="Arial" w:cs="Arial" w:eastAsia="Arial" w:hAnsi="Arial"/>
          <w:color w:val="1A1A2E"/>
          <w:sz w:val="22"/>
          <w:szCs w:val="22"/>
        </w:rPr>
        <w:t xml:space="preserve">Hair thinning with rapid weight loss (usually temporary)</w:t>
      </w:r>
    </w:p>
    <w:p>
      <w:pPr>
        <w:pStyle w:val="ListParagraph"/>
        <w:numPr>
          <w:ilvl w:val="0"/>
          <w:numId w:val="2"/>
        </w:numPr>
        <w:spacing w:before="20" w:after="60"/>
      </w:pPr>
      <w:r>
        <w:rPr>
          <w:rFonts w:ascii="Arial" w:cs="Arial" w:eastAsia="Arial" w:hAnsi="Arial"/>
          <w:color w:val="1A1A2E"/>
          <w:sz w:val="22"/>
          <w:szCs w:val="22"/>
        </w:rPr>
        <w:t xml:space="preserve">Muscle mass loss — resistance exercise strongly recommended</w:t>
      </w:r>
    </w:p>
    <w:p>
      <w:pPr>
        <w:pStyle w:val="ListParagraph"/>
        <w:numPr>
          <w:ilvl w:val="0"/>
          <w:numId w:val="2"/>
        </w:numPr>
        <w:spacing w:before="20" w:after="60"/>
      </w:pPr>
      <w:r>
        <w:rPr>
          <w:rFonts w:ascii="Arial" w:cs="Arial" w:eastAsia="Arial" w:hAnsi="Arial"/>
          <w:color w:val="1A1A2E"/>
          <w:sz w:val="22"/>
          <w:szCs w:val="22"/>
        </w:rPr>
        <w:t xml:space="preserve">Gallstones — rapid weight loss increases risk</w:t>
      </w:r>
    </w:p>
    <w:p>
      <w:pPr>
        <w:pStyle w:val="ListParagraph"/>
        <w:numPr>
          <w:ilvl w:val="0"/>
          <w:numId w:val="2"/>
        </w:numPr>
        <w:spacing w:before="20" w:after="60"/>
      </w:pPr>
      <w:r>
        <w:rPr>
          <w:rFonts w:ascii="Arial" w:cs="Arial" w:eastAsia="Arial" w:hAnsi="Arial"/>
          <w:color w:val="1A1A2E"/>
          <w:sz w:val="22"/>
          <w:szCs w:val="22"/>
        </w:rPr>
        <w:t xml:space="preserve">Pancreatitis (rare but serious)</w:t>
      </w:r>
    </w:p>
    <w:p>
      <w:pPr>
        <w:pStyle w:val="ListParagraph"/>
        <w:numPr>
          <w:ilvl w:val="0"/>
          <w:numId w:val="2"/>
        </w:numPr>
        <w:spacing w:before="20" w:after="60"/>
      </w:pPr>
      <w:r>
        <w:rPr>
          <w:rFonts w:ascii="Arial" w:cs="Arial" w:eastAsia="Arial" w:hAnsi="Arial"/>
          <w:color w:val="1A1A2E"/>
          <w:sz w:val="22"/>
          <w:szCs w:val="22"/>
        </w:rPr>
        <w:t xml:space="preserve">Hypoglycaemia — risk is low without concurrent insulin or sulfonylurea</w:t>
      </w:r>
    </w:p>
    <w:p>
      <w:pPr>
        <w:spacing w:before="0" w:after="100"/>
      </w:pPr>
    </w:p>
    <w:tbl>
      <w:tblPr>
        <w:tblW w:type="dxa" w:w="9360"/>
        <w:tblBorders>
          <w:top w:val="none" w:color="FFFFFF" w:sz="0"/>
          <w:left w:val="single" w:color="C0392B" w:sz="16"/>
          <w:bottom w:val="none" w:color="FFFFFF" w:sz="0"/>
          <w:right w:val="none" w:color="FFFFFF" w:sz="0"/>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FDEDEC" w:val="clear"/>
            <w:tcMar>
              <w:top w:type="dxa" w:w="60"/>
              <w:left w:type="dxa" w:w="140"/>
              <w:bottom w:type="dxa" w:w="0"/>
              <w:right w:type="dxa" w:w="140"/>
            </w:tcMar>
          </w:tcPr>
          <w:p>
            <w:pPr>
              <w:spacing w:before="0" w:after="40"/>
            </w:pPr>
            <w:r>
              <w:rPr>
                <w:rFonts w:ascii="Arial" w:cs="Arial" w:eastAsia="Arial" w:hAnsi="Arial"/>
                <w:b/>
                <w:bCs/>
                <w:color w:val="C0392B"/>
                <w:sz w:val="20"/>
                <w:szCs w:val="20"/>
              </w:rPr>
              <w:t xml:space="preserve">⚠  Thyroid C-Cell Tumour Risk — Black Box Warning</w:t>
            </w:r>
          </w:p>
        </w:tc>
      </w:tr>
      <w:tr>
        <w:tc>
          <w:tcPr>
            <w:tcW w:type="dxa" w:w="9360"/>
            <w:tcBorders>
              <w:top w:val="none" w:color="FFFFFF" w:sz="0"/>
              <w:left w:val="none" w:color="FFFFFF" w:sz="0"/>
              <w:bottom w:val="none" w:color="FFFFFF" w:sz="0"/>
              <w:right w:val="none" w:color="FFFFFF" w:sz="0"/>
            </w:tcBorders>
            <w:shd w:fill="FDEDEC" w:val="clear"/>
            <w:tcMar>
              <w:top w:type="dxa" w:w="0"/>
              <w:left w:type="dxa" w:w="140"/>
              <w:bottom w:type="dxa" w:w="80"/>
              <w:right w:type="dxa" w:w="140"/>
            </w:tcMar>
          </w:tcPr>
          <w:p>
            <w:pPr>
              <w:spacing w:before="0" w:after="0"/>
            </w:pPr>
            <w:r>
              <w:rPr>
                <w:rFonts w:ascii="Arial" w:cs="Arial" w:eastAsia="Arial" w:hAnsi="Arial"/>
                <w:color w:val="1A1A2E"/>
                <w:sz w:val="20"/>
                <w:szCs w:val="20"/>
              </w:rPr>
              <w:t xml:space="preserve">Tirzepatide, like semaglutide, caused thyroid C-cell tumours in rodent studies. It is CONTRAINDICATED in patients with a personal or family history of medullary thyroid carcinoma (MTC) or Multiple Endocrine Neoplasia syndrome type 2 (MEN 2). Same monitoring and reporting requirements apply as for semaglutide.</w:t>
            </w:r>
          </w:p>
        </w:tc>
      </w:tr>
    </w:tbl>
    <w:p>
      <w:pPr>
        <w:spacing w:before="0" w:after="120"/>
      </w:pPr>
    </w:p>
    <w:p>
      <w:pPr>
        <w:pStyle w:val="Heading3"/>
        <w:spacing w:before="100" w:after="60"/>
      </w:pPr>
      <w:r>
        <w:rPr>
          <w:rFonts w:ascii="Arial" w:cs="Arial" w:eastAsia="Arial" w:hAnsi="Arial"/>
          <w:b/>
          <w:bCs/>
          <w:color w:val="1B3A6B"/>
          <w:sz w:val="22"/>
          <w:szCs w:val="22"/>
        </w:rPr>
        <w:t xml:space="preserve">Contraindications — Tirzepatide</w:t>
      </w:r>
    </w:p>
    <w:p>
      <w:pPr>
        <w:pStyle w:val="ListParagraph"/>
        <w:numPr>
          <w:ilvl w:val="0"/>
          <w:numId w:val="2"/>
        </w:numPr>
        <w:spacing w:before="20" w:after="60"/>
      </w:pPr>
      <w:r>
        <w:rPr>
          <w:rFonts w:ascii="Arial" w:cs="Arial" w:eastAsia="Arial" w:hAnsi="Arial"/>
          <w:color w:val="1A1A2E"/>
          <w:sz w:val="22"/>
          <w:szCs w:val="22"/>
        </w:rPr>
        <w:t xml:space="preserve">Personal or family history of medullary thyroid carcinoma (MTC) — ABSOLUTE</w:t>
      </w:r>
    </w:p>
    <w:p>
      <w:pPr>
        <w:pStyle w:val="ListParagraph"/>
        <w:numPr>
          <w:ilvl w:val="0"/>
          <w:numId w:val="2"/>
        </w:numPr>
        <w:spacing w:before="20" w:after="60"/>
      </w:pPr>
      <w:r>
        <w:rPr>
          <w:rFonts w:ascii="Arial" w:cs="Arial" w:eastAsia="Arial" w:hAnsi="Arial"/>
          <w:color w:val="1A1A2E"/>
          <w:sz w:val="22"/>
          <w:szCs w:val="22"/>
        </w:rPr>
        <w:t xml:space="preserve">Multiple Endocrine Neoplasia syndrome type 2 (MEN 2) — ABSOLUTE</w:t>
      </w:r>
    </w:p>
    <w:p>
      <w:pPr>
        <w:pStyle w:val="ListParagraph"/>
        <w:numPr>
          <w:ilvl w:val="0"/>
          <w:numId w:val="2"/>
        </w:numPr>
        <w:spacing w:before="20" w:after="60"/>
      </w:pPr>
      <w:r>
        <w:rPr>
          <w:rFonts w:ascii="Arial" w:cs="Arial" w:eastAsia="Arial" w:hAnsi="Arial"/>
          <w:color w:val="1A1A2E"/>
          <w:sz w:val="22"/>
          <w:szCs w:val="22"/>
        </w:rPr>
        <w:t xml:space="preserve">History of pancreatitis (relative; discuss with clinician)</w:t>
      </w:r>
    </w:p>
    <w:p>
      <w:pPr>
        <w:pStyle w:val="ListParagraph"/>
        <w:numPr>
          <w:ilvl w:val="0"/>
          <w:numId w:val="2"/>
        </w:numPr>
        <w:spacing w:before="20" w:after="60"/>
      </w:pPr>
      <w:r>
        <w:rPr>
          <w:rFonts w:ascii="Arial" w:cs="Arial" w:eastAsia="Arial" w:hAnsi="Arial"/>
          <w:color w:val="1A1A2E"/>
          <w:sz w:val="22"/>
          <w:szCs w:val="22"/>
        </w:rPr>
        <w:t xml:space="preserve">Severe gastrointestinal disease</w:t>
      </w:r>
    </w:p>
    <w:p>
      <w:pPr>
        <w:pStyle w:val="ListParagraph"/>
        <w:numPr>
          <w:ilvl w:val="0"/>
          <w:numId w:val="2"/>
        </w:numPr>
        <w:spacing w:before="20" w:after="60"/>
      </w:pPr>
      <w:r>
        <w:rPr>
          <w:rFonts w:ascii="Arial" w:cs="Arial" w:eastAsia="Arial" w:hAnsi="Arial"/>
          <w:color w:val="1A1A2E"/>
          <w:sz w:val="22"/>
          <w:szCs w:val="22"/>
        </w:rPr>
        <w:t xml:space="preserve">Pregnancy or planned pregnancy — stop at least 2 months before conception</w:t>
      </w:r>
    </w:p>
    <w:p>
      <w:pPr>
        <w:pStyle w:val="ListParagraph"/>
        <w:numPr>
          <w:ilvl w:val="0"/>
          <w:numId w:val="2"/>
        </w:numPr>
        <w:spacing w:before="20" w:after="60"/>
      </w:pPr>
      <w:r>
        <w:rPr>
          <w:rFonts w:ascii="Arial" w:cs="Arial" w:eastAsia="Arial" w:hAnsi="Arial"/>
          <w:color w:val="1A1A2E"/>
          <w:sz w:val="22"/>
          <w:szCs w:val="22"/>
        </w:rPr>
        <w:t xml:space="preserve">Known hypersensitivity to tirzepatide</w:t>
      </w:r>
    </w:p>
    <w:p>
      <w:pPr>
        <w:spacing w:before="0" w:after="200"/>
      </w:pPr>
    </w:p>
    <w:tbl>
      <w:tblPr>
        <w:tblW w:type="dxa" w:w="9360"/>
        <w:tblBorders>
          <w:top w:val="none" w:color="FFFFFF" w:sz="0"/>
          <w:left w:val="single" w:color="D4860A" w:sz="16"/>
          <w:bottom w:val="none" w:color="FFFFFF" w:sz="0"/>
          <w:right w:val="none" w:color="FFFFFF" w:sz="0"/>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FEF9E7" w:val="clear"/>
            <w:tcMar>
              <w:top w:type="dxa" w:w="60"/>
              <w:left w:type="dxa" w:w="140"/>
              <w:bottom w:type="dxa" w:w="0"/>
              <w:right w:type="dxa" w:w="140"/>
            </w:tcMar>
          </w:tcPr>
          <w:p>
            <w:pPr>
              <w:spacing w:before="0" w:after="40"/>
            </w:pPr>
            <w:r>
              <w:rPr>
                <w:rFonts w:ascii="Arial" w:cs="Arial" w:eastAsia="Arial" w:hAnsi="Arial"/>
                <w:b/>
                <w:bCs/>
                <w:color w:val="D4860A"/>
                <w:sz w:val="20"/>
                <w:szCs w:val="20"/>
              </w:rPr>
              <w:t xml:space="preserve">⚠  Clinician Reference Only — GLP-1 / Testosterone Interaction (Emerging Data — Not Yet in Guidelines)</w:t>
            </w:r>
          </w:p>
        </w:tc>
      </w:tr>
      <w:tr>
        <w:tc>
          <w:tcPr>
            <w:tcW w:type="dxa" w:w="9360"/>
            <w:tcBorders>
              <w:top w:val="none" w:color="FFFFFF" w:sz="0"/>
              <w:left w:val="none" w:color="FFFFFF" w:sz="0"/>
              <w:bottom w:val="none" w:color="FFFFFF" w:sz="0"/>
              <w:right w:val="none" w:color="FFFFFF" w:sz="0"/>
            </w:tcBorders>
            <w:shd w:fill="FEF9E7" w:val="clear"/>
            <w:tcMar>
              <w:top w:type="dxa" w:w="0"/>
              <w:left w:type="dxa" w:w="140"/>
              <w:bottom w:type="dxa" w:w="80"/>
              <w:right w:type="dxa" w:w="140"/>
            </w:tcMar>
          </w:tcPr>
          <w:p>
            <w:pPr>
              <w:spacing w:before="0" w:after="80"/>
            </w:pPr>
            <w:r>
              <w:rPr>
                <w:rFonts w:ascii="Arial" w:cs="Arial" w:eastAsia="Arial" w:hAnsi="Arial"/>
                <w:color w:val="1A1A2E"/>
                <w:sz w:val="20"/>
                <w:szCs w:val="20"/>
              </w:rPr>
              <w:t xml:space="preserve">Two 2025 studies are directly relevant to patients receiving or considering both GLP-1 therapy and testosterone or ED treatment. These are NOT disclosed to patients in this consent form as they are not yet incorporated into clinical guidelines, but should be discussed verbally as clinically appropriate:</w:t>
            </w:r>
          </w:p>
          <w:p>
            <w:pPr>
              <w:pStyle w:val="ListParagraph"/>
              <w:numPr>
                <w:ilvl w:val="0"/>
                <w:numId w:val="2"/>
              </w:numPr>
              <w:spacing w:before="0" w:after="60"/>
            </w:pPr>
            <w:r>
              <w:rPr>
                <w:rFonts w:ascii="Arial" w:cs="Arial" w:eastAsia="Arial" w:hAnsi="Arial"/>
                <w:color w:val="1A1A2E"/>
                <w:sz w:val="20"/>
                <w:szCs w:val="20"/>
              </w:rPr>
              <w:t xml:space="preserve">Portillo Canales et al. (Endocrine Society 2025): men on GLP-1 medications showed 53–77% testosterone increases over 18 months alongside 10% weight reduction. GLP-1-mediated weight loss may partially or fully resolve functional testosterone deficiency. Reassess testosterone panel after ≥10% weight loss.</w:t>
            </w:r>
          </w:p>
          <w:p>
            <w:pPr>
              <w:pStyle w:val="ListParagraph"/>
              <w:numPr>
                <w:ilvl w:val="0"/>
                <w:numId w:val="2"/>
              </w:numPr>
              <w:spacing w:before="0" w:after="0"/>
            </w:pPr>
            <w:r>
              <w:rPr>
                <w:rFonts w:ascii="Arial" w:cs="Arial" w:eastAsia="Arial" w:hAnsi="Arial"/>
                <w:color w:val="1A1A2E"/>
                <w:sz w:val="20"/>
                <w:szCs w:val="20"/>
              </w:rPr>
              <w:t xml:space="preserve">Able et al. (TriNetX 2024): semaglutide in non-diabetic obese men was associated with increased erectile dysfunction risk. Monitor ED symptoms in patients started on semaglutide who are not already on ED treatment.</w:t>
            </w:r>
          </w:p>
        </w:tc>
      </w:tr>
    </w:tbl>
    <w:p>
      <w:pPr>
        <w:spacing w:before="0" w:after="20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1A7A8C" w:sz="1"/>
              <w:left w:val="single" w:color="1A7A8C" w:sz="1"/>
              <w:bottom w:val="single" w:color="1A7A8C" w:sz="1"/>
              <w:right w:val="single" w:color="1A7A8C" w:sz="1"/>
            </w:tcBorders>
            <w:shd w:fill="1B3A6B" w:val="clear"/>
            <w:tcMar>
              <w:top w:type="dxa" w:w="100"/>
              <w:left w:type="dxa" w:w="180"/>
              <w:bottom w:type="dxa" w:w="100"/>
              <w:right w:type="dxa" w:w="180"/>
            </w:tcMar>
          </w:tcPr>
          <w:p>
            <w:pPr>
              <w:spacing w:before="0" w:after="0"/>
            </w:pPr>
            <w:r>
              <w:rPr>
                <w:rFonts w:ascii="Arial" w:cs="Arial" w:eastAsia="Arial" w:hAnsi="Arial"/>
                <w:b/>
                <w:bCs/>
                <w:color w:val="FFFFFF"/>
                <w:sz w:val="26"/>
                <w:szCs w:val="26"/>
              </w:rPr>
              <w:t xml:space="preserve">5.  Shared Requirements for All Weight Loss Medications</w:t>
            </w:r>
          </w:p>
        </w:tc>
      </w:tr>
    </w:tbl>
    <w:p>
      <w:pPr>
        <w:spacing w:before="0" w:after="160"/>
      </w:pPr>
    </w:p>
    <w:p>
      <w:pPr>
        <w:pStyle w:val="Heading3"/>
        <w:spacing w:before="100" w:after="60"/>
      </w:pPr>
      <w:r>
        <w:rPr>
          <w:rFonts w:ascii="Arial" w:cs="Arial" w:eastAsia="Arial" w:hAnsi="Arial"/>
          <w:b/>
          <w:bCs/>
          <w:color w:val="1B3A6B"/>
          <w:sz w:val="22"/>
          <w:szCs w:val="22"/>
        </w:rPr>
        <w:t xml:space="preserve">Lifestyle — Non-Negotiable</w:t>
      </w:r>
    </w:p>
    <w:p>
      <w:pPr>
        <w:spacing w:before="20" w:after="100"/>
      </w:pPr>
      <w:r>
        <w:rPr>
          <w:rFonts w:ascii="Arial" w:cs="Arial" w:eastAsia="Arial" w:hAnsi="Arial"/>
          <w:color w:val="1A1A2E"/>
          <w:sz w:val="22"/>
          <w:szCs w:val="22"/>
        </w:rPr>
        <w:t xml:space="preserve">These medications are adjuncts to, not replacements for, lifestyle modification. Your clinician requires that you:</w:t>
      </w:r>
    </w:p>
    <w:p>
      <w:pPr>
        <w:spacing w:before="0" w:after="80"/>
      </w:pPr>
    </w:p>
    <w:p>
      <w:pPr>
        <w:pStyle w:val="ListParagraph"/>
        <w:numPr>
          <w:ilvl w:val="0"/>
          <w:numId w:val="2"/>
        </w:numPr>
        <w:spacing w:before="20" w:after="60"/>
      </w:pPr>
      <w:r>
        <w:rPr>
          <w:rFonts w:ascii="Arial" w:cs="Arial" w:eastAsia="Arial" w:hAnsi="Arial"/>
          <w:color w:val="1A1A2E"/>
          <w:sz w:val="22"/>
          <w:szCs w:val="22"/>
        </w:rPr>
        <w:t xml:space="preserve">Maintain a caloric deficit appropriate for your weight loss target (clinician-guided)</w:t>
      </w:r>
    </w:p>
    <w:p>
      <w:pPr>
        <w:pStyle w:val="ListParagraph"/>
        <w:numPr>
          <w:ilvl w:val="0"/>
          <w:numId w:val="2"/>
        </w:numPr>
        <w:spacing w:before="20" w:after="60"/>
      </w:pPr>
      <w:r>
        <w:rPr>
          <w:rFonts w:ascii="Arial" w:cs="Arial" w:eastAsia="Arial" w:hAnsi="Arial"/>
          <w:color w:val="1A1A2E"/>
          <w:sz w:val="22"/>
          <w:szCs w:val="22"/>
        </w:rPr>
        <w:t xml:space="preserve">Prioritise dietary protein (minimum 1.0–1.2 g per kg of target body weight per day) to protect lean muscle mass</w:t>
      </w:r>
    </w:p>
    <w:p>
      <w:pPr>
        <w:pStyle w:val="ListParagraph"/>
        <w:numPr>
          <w:ilvl w:val="0"/>
          <w:numId w:val="2"/>
        </w:numPr>
        <w:spacing w:before="20" w:after="60"/>
      </w:pPr>
      <w:r>
        <w:rPr>
          <w:rFonts w:ascii="Arial" w:cs="Arial" w:eastAsia="Arial" w:hAnsi="Arial"/>
          <w:color w:val="1A1A2E"/>
          <w:sz w:val="22"/>
          <w:szCs w:val="22"/>
        </w:rPr>
        <w:t xml:space="preserve">Engage in resistance exercise at least 2–3 times per week during active weight loss</w:t>
      </w:r>
    </w:p>
    <w:p>
      <w:pPr>
        <w:pStyle w:val="ListParagraph"/>
        <w:numPr>
          <w:ilvl w:val="0"/>
          <w:numId w:val="2"/>
        </w:numPr>
        <w:spacing w:before="20" w:after="60"/>
      </w:pPr>
      <w:r>
        <w:rPr>
          <w:rFonts w:ascii="Arial" w:cs="Arial" w:eastAsia="Arial" w:hAnsi="Arial"/>
          <w:color w:val="1A1A2E"/>
          <w:sz w:val="22"/>
          <w:szCs w:val="22"/>
        </w:rPr>
        <w:t xml:space="preserve">Attend all scheduled follow-up appointments</w:t>
      </w:r>
    </w:p>
    <w:p>
      <w:pPr>
        <w:spacing w:before="0" w:after="120"/>
      </w:pPr>
    </w:p>
    <w:p>
      <w:pPr>
        <w:pStyle w:val="Heading3"/>
        <w:spacing w:before="100" w:after="60"/>
      </w:pPr>
      <w:r>
        <w:rPr>
          <w:rFonts w:ascii="Arial" w:cs="Arial" w:eastAsia="Arial" w:hAnsi="Arial"/>
          <w:b/>
          <w:bCs/>
          <w:color w:val="1B3A6B"/>
          <w:sz w:val="22"/>
          <w:szCs w:val="22"/>
        </w:rPr>
        <w:t xml:space="preserve">Laboratory Monitoring</w:t>
      </w:r>
    </w:p>
    <w:p>
      <w:pPr>
        <w:pStyle w:val="ListParagraph"/>
        <w:numPr>
          <w:ilvl w:val="0"/>
          <w:numId w:val="2"/>
        </w:numPr>
        <w:spacing w:before="20" w:after="60"/>
      </w:pPr>
      <w:r>
        <w:rPr>
          <w:rFonts w:ascii="Arial" w:cs="Arial" w:eastAsia="Arial" w:hAnsi="Arial"/>
          <w:color w:val="1A1A2E"/>
          <w:sz w:val="22"/>
          <w:szCs w:val="22"/>
        </w:rPr>
        <w:t xml:space="preserve">Baseline: fasting glucose, HbA1c, lipid panel, liver function tests (LFTs), kidney function, amylase/lipase if pancreatitis history</w:t>
      </w:r>
    </w:p>
    <w:p>
      <w:pPr>
        <w:pStyle w:val="ListParagraph"/>
        <w:numPr>
          <w:ilvl w:val="0"/>
          <w:numId w:val="2"/>
        </w:numPr>
        <w:spacing w:before="20" w:after="60"/>
      </w:pPr>
      <w:r>
        <w:rPr>
          <w:rFonts w:ascii="Arial" w:cs="Arial" w:eastAsia="Arial" w:hAnsi="Arial"/>
          <w:color w:val="1A1A2E"/>
          <w:sz w:val="22"/>
          <w:szCs w:val="22"/>
        </w:rPr>
        <w:t xml:space="preserve">Follow-up: weight, blood pressure, blood glucose / HbA1c at 3 months; then every 6 months</w:t>
      </w:r>
    </w:p>
    <w:p>
      <w:pPr>
        <w:pStyle w:val="ListParagraph"/>
        <w:numPr>
          <w:ilvl w:val="0"/>
          <w:numId w:val="2"/>
        </w:numPr>
        <w:spacing w:before="20" w:after="60"/>
      </w:pPr>
      <w:r>
        <w:rPr>
          <w:rFonts w:ascii="Arial" w:cs="Arial" w:eastAsia="Arial" w:hAnsi="Arial"/>
          <w:color w:val="1A1A2E"/>
          <w:sz w:val="22"/>
          <w:szCs w:val="22"/>
        </w:rPr>
        <w:t xml:space="preserve">Additional labs ordered as clinically indicated based on your comorbidities</w:t>
      </w:r>
    </w:p>
    <w:p>
      <w:pPr>
        <w:spacing w:before="0" w:after="120"/>
      </w:pPr>
    </w:p>
    <w:p>
      <w:pPr>
        <w:pStyle w:val="Heading3"/>
        <w:spacing w:before="100" w:after="60"/>
      </w:pPr>
      <w:r>
        <w:rPr>
          <w:rFonts w:ascii="Arial" w:cs="Arial" w:eastAsia="Arial" w:hAnsi="Arial"/>
          <w:b/>
          <w:bCs/>
          <w:color w:val="1B3A6B"/>
          <w:sz w:val="22"/>
          <w:szCs w:val="22"/>
        </w:rPr>
        <w:t xml:space="preserve">Injection Technique</w:t>
      </w:r>
    </w:p>
    <w:p>
      <w:pPr>
        <w:spacing w:before="20" w:after="100"/>
      </w:pPr>
      <w:r>
        <w:rPr>
          <w:rFonts w:ascii="Arial" w:cs="Arial" w:eastAsia="Arial" w:hAnsi="Arial"/>
          <w:color w:val="1A1A2E"/>
          <w:sz w:val="22"/>
          <w:szCs w:val="22"/>
        </w:rPr>
        <w:t xml:space="preserve">Both semaglutide and tirzepatide are administered as once-weekly subcutaneous injections using a pre-filled auto-injector pen or syringe. Injection sites: abdomen, thigh, or upper arm. Rotate sites each week. Injection training provided at your first visit.</w:t>
      </w:r>
    </w:p>
    <w:p>
      <w:pPr>
        <w:spacing w:before="0" w:after="20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1A7A8C" w:sz="1"/>
              <w:left w:val="single" w:color="1A7A8C" w:sz="1"/>
              <w:bottom w:val="single" w:color="1A7A8C" w:sz="1"/>
              <w:right w:val="single" w:color="1A7A8C" w:sz="1"/>
            </w:tcBorders>
            <w:shd w:fill="1B3A6B" w:val="clear"/>
            <w:tcMar>
              <w:top w:type="dxa" w:w="100"/>
              <w:left w:type="dxa" w:w="180"/>
              <w:bottom w:type="dxa" w:w="100"/>
              <w:right w:type="dxa" w:w="180"/>
            </w:tcMar>
          </w:tcPr>
          <w:p>
            <w:pPr>
              <w:spacing w:before="0" w:after="0"/>
            </w:pPr>
            <w:r>
              <w:rPr>
                <w:rFonts w:ascii="Arial" w:cs="Arial" w:eastAsia="Arial" w:hAnsi="Arial"/>
                <w:b/>
                <w:bCs/>
                <w:color w:val="FFFFFF"/>
                <w:sz w:val="26"/>
                <w:szCs w:val="26"/>
              </w:rPr>
              <w:t xml:space="preserve">6.  Insurance &amp; Costs</w:t>
            </w:r>
          </w:p>
        </w:tc>
      </w:tr>
    </w:tbl>
    <w:p>
      <w:pPr>
        <w:spacing w:before="0" w:after="160"/>
      </w:pPr>
    </w:p>
    <w:p>
      <w:pPr>
        <w:pStyle w:val="ListParagraph"/>
        <w:numPr>
          <w:ilvl w:val="0"/>
          <w:numId w:val="2"/>
        </w:numPr>
        <w:spacing w:before="20" w:after="60"/>
      </w:pPr>
      <w:r>
        <w:rPr>
          <w:rFonts w:ascii="Arial" w:cs="Arial" w:eastAsia="Arial" w:hAnsi="Arial"/>
          <w:color w:val="1A1A2E"/>
          <w:sz w:val="22"/>
          <w:szCs w:val="22"/>
        </w:rPr>
        <w:t xml:space="preserve">Brand-name Wegovy® (semaglutide 2.4 mg) and Zepbound® (tirzepatide): covered by many commercial insurance plans for BMI ≥30 or ≥27 with comorbidities. Medicare Part D does NOT currently cover weight loss medications.</w:t>
      </w:r>
    </w:p>
    <w:p>
      <w:pPr>
        <w:pStyle w:val="ListParagraph"/>
        <w:numPr>
          <w:ilvl w:val="0"/>
          <w:numId w:val="2"/>
        </w:numPr>
        <w:spacing w:before="20" w:after="60"/>
      </w:pPr>
      <w:r>
        <w:rPr>
          <w:rFonts w:ascii="Arial" w:cs="Arial" w:eastAsia="Arial" w:hAnsi="Arial"/>
          <w:color w:val="1A1A2E"/>
          <w:sz w:val="22"/>
          <w:szCs w:val="22"/>
        </w:rPr>
        <w:t xml:space="preserve">Compounded semaglutide and tirzepatide: generally not covered by insurance. Cash price typically $150–$400/month depending on dose.</w:t>
      </w:r>
    </w:p>
    <w:p>
      <w:pPr>
        <w:pStyle w:val="ListParagraph"/>
        <w:numPr>
          <w:ilvl w:val="0"/>
          <w:numId w:val="2"/>
        </w:numPr>
        <w:spacing w:before="20" w:after="60"/>
      </w:pPr>
      <w:r>
        <w:rPr>
          <w:rFonts w:ascii="Arial" w:cs="Arial" w:eastAsia="Arial" w:hAnsi="Arial"/>
          <w:color w:val="1A1A2E"/>
          <w:sz w:val="22"/>
          <w:szCs w:val="22"/>
        </w:rPr>
        <w:t xml:space="preserve">Ozempic® (semaglutide 0.5–2.0 mg for diabetes): often covered for type 2 diabetes. Use for weight loss alone may not be covered.</w:t>
      </w:r>
    </w:p>
    <w:p>
      <w:pPr>
        <w:pStyle w:val="ListParagraph"/>
        <w:numPr>
          <w:ilvl w:val="0"/>
          <w:numId w:val="2"/>
        </w:numPr>
        <w:spacing w:before="20" w:after="60"/>
      </w:pPr>
      <w:r>
        <w:rPr>
          <w:rFonts w:ascii="Arial" w:cs="Arial" w:eastAsia="Arial" w:hAnsi="Arial"/>
          <w:color w:val="1A1A2E"/>
          <w:sz w:val="22"/>
          <w:szCs w:val="22"/>
        </w:rPr>
        <w:t xml:space="preserve">Prior authorisation may be required. Revive handles prior auth coordination on Standard and Complete plans.</w:t>
      </w:r>
    </w:p>
    <w:p>
      <w:pPr>
        <w:spacing w:before="0" w:after="20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1A7A8C" w:sz="1"/>
              <w:left w:val="single" w:color="1A7A8C" w:sz="1"/>
              <w:bottom w:val="single" w:color="1A7A8C" w:sz="1"/>
              <w:right w:val="single" w:color="1A7A8C" w:sz="1"/>
            </w:tcBorders>
            <w:shd w:fill="1B3A6B" w:val="clear"/>
            <w:tcMar>
              <w:top w:type="dxa" w:w="100"/>
              <w:left w:type="dxa" w:w="180"/>
              <w:bottom w:type="dxa" w:w="100"/>
              <w:right w:type="dxa" w:w="180"/>
            </w:tcMar>
          </w:tcPr>
          <w:p>
            <w:pPr>
              <w:spacing w:before="0" w:after="0"/>
            </w:pPr>
            <w:r>
              <w:rPr>
                <w:rFonts w:ascii="Arial" w:cs="Arial" w:eastAsia="Arial" w:hAnsi="Arial"/>
                <w:b/>
                <w:bCs/>
                <w:color w:val="FFFFFF"/>
                <w:sz w:val="26"/>
                <w:szCs w:val="26"/>
              </w:rPr>
              <w:t xml:space="preserve">7.  Patient Acknowledgements</w:t>
            </w:r>
          </w:p>
        </w:tc>
      </w:tr>
    </w:tbl>
    <w:p>
      <w:pPr>
        <w:spacing w:before="0" w:after="160"/>
      </w:pPr>
    </w:p>
    <w:p>
      <w:pPr>
        <w:spacing w:before="20" w:after="100"/>
      </w:pPr>
      <w:r>
        <w:rPr>
          <w:rFonts w:ascii="Arial" w:cs="Arial" w:eastAsia="Arial" w:hAnsi="Arial"/>
          <w:color w:val="1A1A2E"/>
          <w:sz w:val="22"/>
          <w:szCs w:val="22"/>
        </w:rPr>
        <w:t xml:space="preserve">By signing below, I confirm that:</w:t>
      </w:r>
    </w:p>
    <w:p>
      <w:pPr>
        <w:spacing w:before="0" w:after="100"/>
      </w:pPr>
    </w:p>
    <w:p>
      <w:pPr>
        <w:pStyle w:val="ListParagraph"/>
        <w:numPr>
          <w:ilvl w:val="0"/>
          <w:numId w:val="3"/>
        </w:numPr>
        <w:spacing w:before="20" w:after="80"/>
      </w:pPr>
      <w:r>
        <w:rPr>
          <w:rFonts w:ascii="Arial" w:cs="Arial" w:eastAsia="Arial" w:hAnsi="Arial"/>
          <w:color w:val="1A1A2E"/>
          <w:sz w:val="22"/>
          <w:szCs w:val="22"/>
        </w:rPr>
        <w:t xml:space="preserve">I have read this informed consent document and had the opportunity to ask questions.</w:t>
      </w:r>
    </w:p>
    <w:p>
      <w:pPr>
        <w:pStyle w:val="ListParagraph"/>
        <w:numPr>
          <w:ilvl w:val="0"/>
          <w:numId w:val="3"/>
        </w:numPr>
        <w:spacing w:before="20" w:after="80"/>
      </w:pPr>
      <w:r>
        <w:rPr>
          <w:rFonts w:ascii="Arial" w:cs="Arial" w:eastAsia="Arial" w:hAnsi="Arial"/>
          <w:color w:val="1A1A2E"/>
          <w:sz w:val="22"/>
          <w:szCs w:val="22"/>
        </w:rPr>
        <w:t xml:space="preserve">I understand the mechanism, expected efficacy, potential side effects, and contraindications of the weight loss medication(s) discussed.</w:t>
      </w:r>
    </w:p>
    <w:p>
      <w:pPr>
        <w:pStyle w:val="ListParagraph"/>
        <w:numPr>
          <w:ilvl w:val="0"/>
          <w:numId w:val="3"/>
        </w:numPr>
        <w:spacing w:before="20" w:after="80"/>
      </w:pPr>
      <w:r>
        <w:rPr>
          <w:rFonts w:ascii="Arial" w:cs="Arial" w:eastAsia="Arial" w:hAnsi="Arial"/>
          <w:color w:val="1A1A2E"/>
          <w:sz w:val="22"/>
          <w:szCs w:val="22"/>
        </w:rPr>
        <w:t xml:space="preserve">I understand the Black Box Warning: semaglutide and tirzepatide are contraindicated if I have a personal or family history of medullary thyroid carcinoma (MTC) or Multiple Endocrine Neoplasia syndrome type 2 (MEN 2). I have disclosed any such history to my clinician.</w:t>
      </w:r>
    </w:p>
    <w:p>
      <w:pPr>
        <w:pStyle w:val="ListParagraph"/>
        <w:numPr>
          <w:ilvl w:val="0"/>
          <w:numId w:val="3"/>
        </w:numPr>
        <w:spacing w:before="20" w:after="80"/>
      </w:pPr>
      <w:r>
        <w:rPr>
          <w:rFonts w:ascii="Arial" w:cs="Arial" w:eastAsia="Arial" w:hAnsi="Arial"/>
          <w:color w:val="1A1A2E"/>
          <w:sz w:val="22"/>
          <w:szCs w:val="22"/>
        </w:rPr>
        <w:t xml:space="preserve">I understand that weight regain is expected if I stop the medication and that long-term use may be necessary.</w:t>
      </w:r>
    </w:p>
    <w:p>
      <w:pPr>
        <w:pStyle w:val="ListParagraph"/>
        <w:numPr>
          <w:ilvl w:val="0"/>
          <w:numId w:val="3"/>
        </w:numPr>
        <w:spacing w:before="20" w:after="80"/>
      </w:pPr>
      <w:r>
        <w:rPr>
          <w:rFonts w:ascii="Arial" w:cs="Arial" w:eastAsia="Arial" w:hAnsi="Arial"/>
          <w:color w:val="1A1A2E"/>
          <w:sz w:val="22"/>
          <w:szCs w:val="22"/>
        </w:rPr>
        <w:t xml:space="preserve">I commit to the lifestyle requirements (dietary protein, resistance exercise, follow-up attendance) as part of treatment.</w:t>
      </w:r>
    </w:p>
    <w:p>
      <w:pPr>
        <w:pStyle w:val="ListParagraph"/>
        <w:numPr>
          <w:ilvl w:val="0"/>
          <w:numId w:val="3"/>
        </w:numPr>
        <w:spacing w:before="20" w:after="80"/>
      </w:pPr>
      <w:r>
        <w:rPr>
          <w:rFonts w:ascii="Arial" w:cs="Arial" w:eastAsia="Arial" w:hAnsi="Arial"/>
          <w:color w:val="1A1A2E"/>
          <w:sz w:val="22"/>
          <w:szCs w:val="22"/>
        </w:rPr>
        <w:t xml:space="preserve">I understand that compounded GLP-1 medications are not FDA-approved as finished products and that I have been informed of the current regulatory status.</w:t>
      </w:r>
    </w:p>
    <w:p>
      <w:pPr>
        <w:pStyle w:val="ListParagraph"/>
        <w:numPr>
          <w:ilvl w:val="0"/>
          <w:numId w:val="3"/>
        </w:numPr>
        <w:spacing w:before="20" w:after="80"/>
      </w:pPr>
      <w:r>
        <w:rPr>
          <w:rFonts w:ascii="Arial" w:cs="Arial" w:eastAsia="Arial" w:hAnsi="Arial"/>
          <w:color w:val="1A1A2E"/>
          <w:sz w:val="22"/>
          <w:szCs w:val="22"/>
        </w:rPr>
        <w:t xml:space="preserve">I understand that results vary and no specific weight loss outcome is guaranteed.</w:t>
      </w:r>
    </w:p>
    <w:p>
      <w:pPr>
        <w:pStyle w:val="ListParagraph"/>
        <w:numPr>
          <w:ilvl w:val="0"/>
          <w:numId w:val="3"/>
        </w:numPr>
        <w:spacing w:before="20" w:after="80"/>
      </w:pPr>
      <w:r>
        <w:rPr>
          <w:rFonts w:ascii="Arial" w:cs="Arial" w:eastAsia="Arial" w:hAnsi="Arial"/>
          <w:color w:val="1A1A2E"/>
          <w:sz w:val="22"/>
          <w:szCs w:val="22"/>
        </w:rPr>
        <w:t xml:space="preserve">I consent to the treatment discussed and documented in my medical record.</w:t>
      </w:r>
    </w:p>
    <w:p>
      <w:pPr>
        <w:pStyle w:val="ListParagraph"/>
        <w:numPr>
          <w:ilvl w:val="0"/>
          <w:numId w:val="3"/>
        </w:numPr>
        <w:spacing w:before="20" w:after="80"/>
      </w:pPr>
      <w:r>
        <w:rPr>
          <w:rFonts w:ascii="Arial" w:cs="Arial" w:eastAsia="Arial" w:hAnsi="Arial"/>
          <w:color w:val="1A1A2E"/>
          <w:sz w:val="22"/>
          <w:szCs w:val="22"/>
        </w:rPr>
        <w:t xml:space="preserve">I will notify my clinician immediately if I develop severe abdominal pain, a lump in my neck, hoarseness, or difficulty swallowing.</w:t>
      </w:r>
    </w:p>
    <w:p>
      <w:pPr>
        <w:pStyle w:val="ListParagraph"/>
        <w:numPr>
          <w:ilvl w:val="0"/>
          <w:numId w:val="3"/>
        </w:numPr>
        <w:spacing w:before="20" w:after="80"/>
      </w:pPr>
      <w:r>
        <w:rPr>
          <w:rFonts w:ascii="Arial" w:cs="Arial" w:eastAsia="Arial" w:hAnsi="Arial"/>
          <w:color w:val="1A1A2E"/>
          <w:sz w:val="22"/>
          <w:szCs w:val="22"/>
        </w:rPr>
        <w:t xml:space="preserve">I understand that GLP-1 therapy causes some loss of lean muscle mass alongside fat loss. I commit to prioritising dietary protein (minimum 1.0 g per kg body weight daily) and engaging in resistance exercise at least twice per week throughout active treatment. I understand my clinician may adjust my protocol if lean mass loss is clinically significant.</w:t>
      </w:r>
    </w:p>
    <w:p>
      <w:pPr>
        <w:pStyle w:val="ListParagraph"/>
        <w:numPr>
          <w:ilvl w:val="0"/>
          <w:numId w:val="3"/>
        </w:numPr>
        <w:spacing w:before="20" w:after="80"/>
      </w:pPr>
      <w:r>
        <w:rPr>
          <w:rFonts w:ascii="Arial" w:cs="Arial" w:eastAsia="Arial" w:hAnsi="Arial"/>
          <w:color w:val="1A1A2E"/>
          <w:sz w:val="22"/>
          <w:szCs w:val="22"/>
        </w:rPr>
        <w:t xml:space="preserve">I will disclose all current medications, supplements, and compounds I am taking — including testosterone therapy, insulin, and other hormonal agents — to my clinician at every visit. I understand that combining GLP-1 agents with insulin-sensitising compounds or other hormonal medications may increase the risk of hypoglycaemia and other interactions.</w:t>
      </w:r>
    </w:p>
    <w:p>
      <w:pPr>
        <w:spacing w:before="0" w:after="240"/>
      </w:pPr>
    </w:p>
    <w:tbl>
      <w:tblPr>
        <w:tblW w:type="dxa" w:w="9360"/>
        <w:tblBorders>
          <w:top w:val="none" w:color="FFFFFF" w:sz="0"/>
          <w:left w:val="none" w:color="FFFFFF" w:sz="0"/>
          <w:bottom w:val="none" w:color="FFFFFF" w:sz="0"/>
          <w:right w:val="none" w:color="FFFFFF" w:sz="0"/>
          <w:insideH w:val="single" w:color="auto" w:sz="4"/>
          <w:insideV w:val="single" w:color="auto" w:sz="4"/>
        </w:tblBorders>
      </w:tblPr>
      <w:tblGrid>
        <w:gridCol w:w="4680"/>
        <w:gridCol w:w="4680"/>
      </w:tblGrid>
      <w:tr>
        <w:tc>
          <w:tcPr>
            <w:tcW w:type="dxa" w:w="4680"/>
            <w:tcBorders>
              <w:top w:val="none" w:color="FFFFFF" w:sz="0"/>
              <w:left w:val="none" w:color="FFFFFF" w:sz="0"/>
              <w:bottom w:val="none" w:color="FFFFFF" w:sz="0"/>
              <w:right w:val="none" w:color="FFFFFF" w:sz="0"/>
            </w:tcBorders>
            <w:tcMar>
              <w:top w:type="dxa" w:w="0"/>
              <w:left w:type="dxa" w:w="0"/>
              <w:bottom w:type="dxa" w:w="0"/>
              <w:right w:type="dxa" w:w="120"/>
            </w:tcMar>
          </w:tcPr>
          <w:p>
            <w:pPr>
              <w:pBdr>
                <w:bottom w:val="single" w:color="1A1A2E" w:sz="3"/>
              </w:pBdr>
              <w:spacing w:before="400" w:after="60"/>
            </w:pPr>
          </w:p>
          <w:p>
            <w:pPr>
              <w:spacing w:before="20" w:after="0"/>
            </w:pPr>
            <w:r>
              <w:rPr>
                <w:rFonts w:ascii="Arial" w:cs="Arial" w:eastAsia="Arial" w:hAnsi="Arial"/>
                <w:color w:val="666666"/>
                <w:sz w:val="18"/>
                <w:szCs w:val="18"/>
              </w:rPr>
              <w:t xml:space="preserve">Patient Signature</w:t>
            </w:r>
          </w:p>
        </w:tc>
        <w:tc>
          <w:tcPr>
            <w:tcW w:type="dxa" w:w="4680"/>
            <w:tcBorders>
              <w:top w:val="none" w:color="FFFFFF" w:sz="0"/>
              <w:left w:val="none" w:color="FFFFFF" w:sz="0"/>
              <w:bottom w:val="none" w:color="FFFFFF" w:sz="0"/>
              <w:right w:val="none" w:color="FFFFFF" w:sz="0"/>
            </w:tcBorders>
            <w:tcMar>
              <w:top w:type="dxa" w:w="0"/>
              <w:left w:type="dxa" w:w="0"/>
              <w:bottom w:type="dxa" w:w="0"/>
              <w:right w:type="dxa" w:w="120"/>
            </w:tcMar>
          </w:tcPr>
          <w:p>
            <w:pPr>
              <w:pBdr>
                <w:bottom w:val="single" w:color="1A1A2E" w:sz="3"/>
              </w:pBdr>
              <w:spacing w:before="400" w:after="60"/>
            </w:pPr>
          </w:p>
          <w:p>
            <w:pPr>
              <w:spacing w:before="20" w:after="0"/>
            </w:pPr>
            <w:r>
              <w:rPr>
                <w:rFonts w:ascii="Arial" w:cs="Arial" w:eastAsia="Arial" w:hAnsi="Arial"/>
                <w:color w:val="666666"/>
                <w:sz w:val="18"/>
                <w:szCs w:val="18"/>
              </w:rPr>
              <w:t xml:space="preserve">Date</w:t>
            </w:r>
          </w:p>
        </w:tc>
      </w:tr>
    </w:tbl>
    <w:p>
      <w:pPr>
        <w:spacing w:before="0" w:after="200"/>
      </w:pPr>
    </w:p>
    <w:tbl>
      <w:tblPr>
        <w:tblW w:type="dxa" w:w="9360"/>
        <w:tblBorders>
          <w:top w:val="none" w:color="FFFFFF" w:sz="0"/>
          <w:left w:val="none" w:color="FFFFFF" w:sz="0"/>
          <w:bottom w:val="none" w:color="FFFFFF" w:sz="0"/>
          <w:right w:val="none" w:color="FFFFFF" w:sz="0"/>
          <w:insideH w:val="single" w:color="auto" w:sz="4"/>
          <w:insideV w:val="single" w:color="auto" w:sz="4"/>
        </w:tblBorders>
      </w:tblPr>
      <w:tblGrid>
        <w:gridCol w:w="3120"/>
        <w:gridCol w:w="3120"/>
        <w:gridCol w:w="3120"/>
      </w:tblGrid>
      <w:tr>
        <w:tc>
          <w:tcPr>
            <w:tcW w:type="dxa" w:w="3120"/>
            <w:tcBorders>
              <w:top w:val="none" w:color="FFFFFF" w:sz="0"/>
              <w:left w:val="none" w:color="FFFFFF" w:sz="0"/>
              <w:bottom w:val="none" w:color="FFFFFF" w:sz="0"/>
              <w:right w:val="none" w:color="FFFFFF" w:sz="0"/>
            </w:tcBorders>
            <w:tcMar>
              <w:top w:type="dxa" w:w="0"/>
              <w:left w:type="dxa" w:w="0"/>
              <w:bottom w:type="dxa" w:w="0"/>
              <w:right w:type="dxa" w:w="120"/>
            </w:tcMar>
          </w:tcPr>
          <w:p>
            <w:pPr>
              <w:pBdr>
                <w:bottom w:val="single" w:color="1A1A2E" w:sz="3"/>
              </w:pBdr>
              <w:spacing w:before="400" w:after="60"/>
            </w:pPr>
          </w:p>
          <w:p>
            <w:pPr>
              <w:spacing w:before="20" w:after="0"/>
            </w:pPr>
            <w:r>
              <w:rPr>
                <w:rFonts w:ascii="Arial" w:cs="Arial" w:eastAsia="Arial" w:hAnsi="Arial"/>
                <w:color w:val="666666"/>
                <w:sz w:val="18"/>
                <w:szCs w:val="18"/>
              </w:rPr>
              <w:t xml:space="preserve">Printed Name</w:t>
            </w:r>
          </w:p>
        </w:tc>
        <w:tc>
          <w:tcPr>
            <w:tcW w:type="dxa" w:w="3120"/>
            <w:tcBorders>
              <w:top w:val="none" w:color="FFFFFF" w:sz="0"/>
              <w:left w:val="none" w:color="FFFFFF" w:sz="0"/>
              <w:bottom w:val="none" w:color="FFFFFF" w:sz="0"/>
              <w:right w:val="none" w:color="FFFFFF" w:sz="0"/>
            </w:tcBorders>
            <w:tcMar>
              <w:top w:type="dxa" w:w="0"/>
              <w:left w:type="dxa" w:w="0"/>
              <w:bottom w:type="dxa" w:w="0"/>
              <w:right w:type="dxa" w:w="120"/>
            </w:tcMar>
          </w:tcPr>
          <w:p>
            <w:pPr>
              <w:pBdr>
                <w:bottom w:val="single" w:color="1A1A2E" w:sz="3"/>
              </w:pBdr>
              <w:spacing w:before="400" w:after="60"/>
            </w:pPr>
          </w:p>
          <w:p>
            <w:pPr>
              <w:spacing w:before="20" w:after="0"/>
            </w:pPr>
            <w:r>
              <w:rPr>
                <w:rFonts w:ascii="Arial" w:cs="Arial" w:eastAsia="Arial" w:hAnsi="Arial"/>
                <w:color w:val="666666"/>
                <w:sz w:val="18"/>
                <w:szCs w:val="18"/>
              </w:rPr>
              <w:t xml:space="preserve">Date of Birth</w:t>
            </w:r>
          </w:p>
        </w:tc>
        <w:tc>
          <w:tcPr>
            <w:tcW w:type="dxa" w:w="3120"/>
            <w:tcBorders>
              <w:top w:val="none" w:color="FFFFFF" w:sz="0"/>
              <w:left w:val="none" w:color="FFFFFF" w:sz="0"/>
              <w:bottom w:val="none" w:color="FFFFFF" w:sz="0"/>
              <w:right w:val="none" w:color="FFFFFF" w:sz="0"/>
            </w:tcBorders>
            <w:tcMar>
              <w:top w:type="dxa" w:w="0"/>
              <w:left w:type="dxa" w:w="0"/>
              <w:bottom w:type="dxa" w:w="0"/>
              <w:right w:type="dxa" w:w="120"/>
            </w:tcMar>
          </w:tcPr>
          <w:p>
            <w:pPr>
              <w:pBdr>
                <w:bottom w:val="single" w:color="1A1A2E" w:sz="3"/>
              </w:pBdr>
              <w:spacing w:before="400" w:after="60"/>
            </w:pPr>
          </w:p>
          <w:p>
            <w:pPr>
              <w:spacing w:before="20" w:after="0"/>
            </w:pPr>
            <w:r>
              <w:rPr>
                <w:rFonts w:ascii="Arial" w:cs="Arial" w:eastAsia="Arial" w:hAnsi="Arial"/>
                <w:color w:val="666666"/>
                <w:sz w:val="18"/>
                <w:szCs w:val="18"/>
              </w:rPr>
              <w:t xml:space="preserve">Clinician Name &amp; NPI</w:t>
            </w:r>
          </w:p>
        </w:tc>
      </w:tr>
    </w:tbl>
    <w:p>
      <w:pPr>
        <w:spacing w:before="0" w:after="200"/>
      </w:pPr>
    </w:p>
    <w:tbl>
      <w:tblPr>
        <w:tblW w:type="dxa" w:w="9360"/>
        <w:tblBorders>
          <w:top w:val="none" w:color="FFFFFF" w:sz="0"/>
          <w:left w:val="single" w:color="BDC3C7" w:sz="16"/>
          <w:bottom w:val="none" w:color="FFFFFF" w:sz="0"/>
          <w:right w:val="none" w:color="FFFFFF" w:sz="0"/>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F4F6F8" w:val="clear"/>
            <w:tcMar>
              <w:top w:type="dxa" w:w="60"/>
              <w:left w:type="dxa" w:w="140"/>
              <w:bottom w:type="dxa" w:w="0"/>
              <w:right w:type="dxa" w:w="140"/>
            </w:tcMar>
          </w:tcPr>
          <w:p>
            <w:pPr>
              <w:spacing w:before="0" w:after="40"/>
            </w:pPr>
            <w:r>
              <w:rPr>
                <w:rFonts w:ascii="Arial" w:cs="Arial" w:eastAsia="Arial" w:hAnsi="Arial"/>
                <w:b/>
                <w:bCs/>
                <w:color w:val="BDC3C7"/>
                <w:sz w:val="20"/>
                <w:szCs w:val="20"/>
              </w:rPr>
              <w:t xml:space="preserve">Document Control</w:t>
            </w:r>
          </w:p>
        </w:tc>
      </w:tr>
      <w:tr>
        <w:tc>
          <w:tcPr>
            <w:tcW w:type="dxa" w:w="9360"/>
            <w:tcBorders>
              <w:top w:val="none" w:color="FFFFFF" w:sz="0"/>
              <w:left w:val="none" w:color="FFFFFF" w:sz="0"/>
              <w:bottom w:val="none" w:color="FFFFFF" w:sz="0"/>
              <w:right w:val="none" w:color="FFFFFF" w:sz="0"/>
            </w:tcBorders>
            <w:shd w:fill="F4F6F8" w:val="clear"/>
            <w:tcMar>
              <w:top w:type="dxa" w:w="0"/>
              <w:left w:type="dxa" w:w="140"/>
              <w:bottom w:type="dxa" w:w="80"/>
              <w:right w:type="dxa" w:w="140"/>
            </w:tcMar>
          </w:tcPr>
          <w:p>
            <w:pPr>
              <w:spacing w:before="0" w:after="0"/>
            </w:pPr>
            <w:r>
              <w:rPr>
                <w:rFonts w:ascii="Arial" w:cs="Arial" w:eastAsia="Arial" w:hAnsi="Arial"/>
                <w:color w:val="1A1A2E"/>
                <w:sz w:val="20"/>
                <w:szCs w:val="20"/>
              </w:rPr>
              <w:t xml:space="preserve">Informed Consent — Weight Loss Medications  ·  v1.1  ·  March 2026  ·  Patients on active GLP-1 therapy must re-acknowledge this consent at their annual follow-up.  ·  Updated versions provided when material regulatory or clinical changes occur.  ·  File in patient medical record. Provide copy to patient.</w:t>
            </w:r>
          </w:p>
        </w:tc>
      </w:tr>
    </w:tbl>
    <w:sectPr>
      <w:headerReference w:type="default" r:id="rId6"/>
      <w:footerReference w:type="default" r:id="rId7"/>
      <w:pgSz w:w="12240" w:h="15840" w:orient="portrait"/>
      <w:pgMar w:top="1080" w:right="1260" w:bottom="1080" w:left="126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BDC3C7" w:sz="4"/>
      </w:pBdr>
      <w:spacing w:before="80" w:after="0"/>
    </w:pPr>
    <w:r>
      <w:rPr>
        <w:rFonts w:ascii="Arial" w:cs="Arial" w:eastAsia="Arial" w:hAnsi="Arial"/>
        <w:color w:val="888888"/>
        <w:sz w:val="18"/>
        <w:szCs w:val="18"/>
      </w:rPr>
      <w:t xml:space="preserve">Revive Low T Clinic  ·  Informed Consent — Weight Loss Medications  ·  206-960-4770  ·  Page </w:t>
    </w:r>
    <w:r>
      <w:rPr>
        <w:rFonts w:ascii="Arial" w:cs="Arial" w:eastAsia="Arial" w:hAnsi="Arial"/>
        <w:color w:val="888888"/>
        <w:sz w:val="18"/>
        <w:szCs w:val="18"/>
      </w:rPr>
      <w:fldChar w:fldCharType="begin"/>
      <w:instrText xml:space="preserve">PAGE</w:instrText>
      <w:fldChar w:fldCharType="separate"/>
      <w:fldChar w:fldCharType="end"/>
    </w:r>
    <w:r>
      <w:rPr>
        <w:rFonts w:ascii="Arial" w:cs="Arial" w:eastAsia="Arial" w:hAnsi="Arial"/>
        <w:color w:val="888888"/>
        <w:sz w:val="18"/>
        <w:szCs w:val="18"/>
      </w:rPr>
      <w:t xml:space="preserve"> of </w:t>
    </w:r>
    <w:r>
      <w:rPr>
        <w:rFonts w:ascii="Arial" w:cs="Arial" w:eastAsia="Arial" w:hAnsi="Arial"/>
        <w:color w:val="888888"/>
        <w:sz w:val="18"/>
        <w:szCs w:val="18"/>
      </w:rPr>
      <w:fldChar w:fldCharType="begin"/>
      <w:instrText xml:space="preserve">NUMPAGES</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5400"/>
      <w:gridCol w:w="3960"/>
    </w:tblGrid>
    <w:tr>
      <w:tc>
        <w:tcPr>
          <w:tcW w:type="dxa" w:w="5400"/>
          <w:tcBorders>
            <w:top w:val="none" w:color="FFFFFF" w:sz="0"/>
            <w:left w:val="none" w:color="FFFFFF" w:sz="0"/>
            <w:bottom w:val="none" w:color="FFFFFF" w:sz="0"/>
            <w:right w:val="none" w:color="FFFFFF" w:sz="0"/>
          </w:tcBorders>
          <w:shd w:fill="1B3A6B" w:val="clear"/>
          <w:tcMar>
            <w:top w:type="dxa" w:w="80"/>
            <w:left w:type="dxa" w:w="160"/>
            <w:bottom w:type="dxa" w:w="80"/>
            <w:right w:type="dxa" w:w="80"/>
          </w:tcMar>
        </w:tcPr>
        <w:p>
          <w:pPr>
            <w:spacing w:before="0" w:after="0"/>
          </w:pPr>
          <w:r>
            <w:rPr>
              <w:rFonts w:ascii="Arial" w:cs="Arial" w:eastAsia="Arial" w:hAnsi="Arial"/>
              <w:b/>
              <w:bCs/>
              <w:color w:val="FFFFFF"/>
              <w:sz w:val="20"/>
              <w:szCs w:val="20"/>
            </w:rPr>
            <w:t xml:space="preserve">REVIVE LOW T CLINIC</w:t>
          </w:r>
        </w:p>
      </w:tc>
      <w:tc>
        <w:tcPr>
          <w:tcW w:type="dxa" w:w="3960"/>
          <w:tcBorders>
            <w:top w:val="none" w:color="FFFFFF" w:sz="0"/>
            <w:left w:val="none" w:color="FFFFFF" w:sz="0"/>
            <w:bottom w:val="none" w:color="FFFFFF" w:sz="0"/>
            <w:right w:val="none" w:color="FFFFFF" w:sz="0"/>
          </w:tcBorders>
          <w:shd w:fill="1B3A6B" w:val="clear"/>
          <w:tcMar>
            <w:top w:type="dxa" w:w="80"/>
            <w:left w:type="dxa" w:w="80"/>
            <w:bottom w:type="dxa" w:w="80"/>
            <w:right w:type="dxa" w:w="160"/>
          </w:tcMar>
        </w:tcPr>
        <w:p>
          <w:pPr>
            <w:spacing w:before="0" w:after="0"/>
            <w:jc w:val="right"/>
          </w:pPr>
          <w:r>
            <w:rPr>
              <w:rFonts w:ascii="Arial" w:cs="Arial" w:eastAsia="Arial" w:hAnsi="Arial"/>
              <w:color w:val="FFFFFF"/>
              <w:sz w:val="18"/>
              <w:szCs w:val="18"/>
            </w:rPr>
            <w:t xml:space="preserve">Informed Consent — Weight Loss  |  206-960-4770</w:t>
          </w:r>
        </w:p>
      </w:tc>
    </w:tr>
  </w:tbl>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480" w:hanging="240"/>
      </w:pPr>
    </w:lvl>
  </w:abstractNum>
  <w:abstractNum w:abstractNumId="3" w15:restartNumberingAfterBreak="0">
    <w:multiLevelType w:val="hybridMultilevel"/>
    <w:lvl w:ilvl="0" w15:tentative="1">
      <w:start w:val="1"/>
      <w:numFmt w:val="bullet"/>
      <w:lvlText w:val="◦"/>
      <w:lvlJc w:val="left"/>
      <w:pPr>
        <w:ind w:left="900" w:hanging="240"/>
      </w:pPr>
    </w:lvl>
  </w:abstractNum>
  <w:abstractNum w:abstractNumId="4" w15:restartNumberingAfterBreak="0">
    <w:multiLevelType w:val="hybridMultilevel"/>
    <w:lvl w:ilvl="0" w15:tentative="1">
      <w:start w:val="1"/>
      <w:numFmt w:val="decimal"/>
      <w:lvlText w:val="%1."/>
      <w:lvlJc w:val="left"/>
      <w:pPr>
        <w:ind w:left="480" w:hanging="240"/>
      </w:pPr>
    </w:lvl>
  </w:abstractNum>
  <w:num w:numId="1">
    <w:abstractNumId w:val="1"/>
    <w:lvlOverride w:ilvl="0">
      <w:startOverride w:val="1"/>
    </w:lvlOverride>
  </w:num>
  <w:num w:numId="2">
    <w:abstractNumId w:val="2"/>
    <w:lvlOverride w:ilvl="0">
      <w:startOverride w:val="1"/>
    </w:lvlOverride>
  </w:num>
  <w:num w:numId="3">
    <w:abstractNumId w:val="4"/>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Heading1">
    <w:name w:val="Heading 1"/>
    <w:basedOn w:val="Normal"/>
    <w:next w:val="Normal"/>
    <w:qFormat/>
    <w:pPr>
      <w:spacing w:before="240" w:after="80"/>
      <w:outlineLvl w:val="0"/>
    </w:pPr>
    <w:rPr>
      <w:rFonts w:ascii="Arial" w:cs="Arial" w:eastAsia="Arial" w:hAnsi="Arial"/>
      <w:b/>
      <w:bCs/>
      <w:color w:val="1B3A6B"/>
      <w:sz w:val="28"/>
      <w:szCs w:val="28"/>
    </w:rPr>
  </w:style>
  <w:style w:type="paragraph" w:styleId="Heading2">
    <w:name w:val="Heading 2"/>
    <w:basedOn w:val="Normal"/>
    <w:next w:val="Normal"/>
    <w:qFormat/>
    <w:pPr>
      <w:spacing w:before="180" w:after="60"/>
      <w:outlineLvl w:val="1"/>
    </w:pPr>
    <w:rPr>
      <w:rFonts w:ascii="Arial" w:cs="Arial" w:eastAsia="Arial" w:hAnsi="Arial"/>
      <w:b/>
      <w:bCs/>
      <w:color w:val="1A7A8C"/>
      <w:sz w:val="24"/>
      <w:szCs w:val="24"/>
    </w:rPr>
  </w:style>
  <w:style w:type="paragraph" w:styleId="Heading3">
    <w:name w:val="Heading 3"/>
    <w:basedOn w:val="Normal"/>
    <w:next w:val="Normal"/>
    <w:qFormat/>
    <w:pPr>
      <w:spacing w:before="140" w:after="40"/>
      <w:outlineLvl w:val="2"/>
    </w:pPr>
    <w:rPr>
      <w:rFonts w:ascii="Arial" w:cs="Arial" w:eastAsia="Arial" w:hAnsi="Arial"/>
      <w:b/>
      <w:bCs/>
      <w:color w:val="1B3A6B"/>
      <w:sz w:val="22"/>
      <w:szCs w:val="22"/>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fontTable" Target="fontTable.xml"/></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2026-03-18T16:06:49.574Z</dcterms:created>
  <dcterms:modified xsi:type="dcterms:W3CDTF">2026-03-18T16:06:49.575Z</dcterms:modified>
</cp:coreProperties>
</file>

<file path=docProps/custom.xml><?xml version="1.0" encoding="utf-8"?>
<Properties xmlns="http://schemas.openxmlformats.org/officeDocument/2006/custom-properties" xmlns:vt="http://schemas.openxmlformats.org/officeDocument/2006/docPropsVTypes"/>
</file>