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240"/>
      </w:pPr>
    </w:p>
    <w:p>
      <w:pPr>
        <w:spacing w:before="0" w:after="60"/>
        <w:jc w:val="center"/>
      </w:pPr>
      <w:r>
        <w:rPr>
          <w:rFonts w:ascii="Arial" w:cs="Arial" w:eastAsia="Arial" w:hAnsi="Arial"/>
          <w:b/>
          <w:bCs/>
          <w:color w:val="1B3A6B"/>
          <w:sz w:val="54"/>
          <w:szCs w:val="54"/>
        </w:rPr>
        <w:t xml:space="preserve">INFORMED CONSENT</w:t>
      </w:r>
    </w:p>
    <w:p>
      <w:pPr>
        <w:spacing w:before="0" w:after="60"/>
        <w:jc w:val="center"/>
      </w:pPr>
      <w:r>
        <w:rPr>
          <w:rFonts w:ascii="Arial" w:cs="Arial" w:eastAsia="Arial" w:hAnsi="Arial"/>
          <w:b/>
          <w:bCs/>
          <w:color w:val="1A7A8C"/>
          <w:sz w:val="30"/>
          <w:szCs w:val="30"/>
        </w:rPr>
        <w:t xml:space="preserve">Testosterone Deficiency Treatment</w:t>
      </w:r>
    </w:p>
    <w:p>
      <w:pPr>
        <w:spacing w:before="0" w:after="80"/>
        <w:jc w:val="center"/>
      </w:pPr>
      <w:r>
        <w:rPr>
          <w:rFonts w:ascii="Arial" w:cs="Arial" w:eastAsia="Arial" w:hAnsi="Arial"/>
          <w:color w:val="888888"/>
          <w:sz w:val="20"/>
          <w:szCs w:val="20"/>
        </w:rPr>
        <w:t xml:space="preserve">Revive Low T Clinic  ·  206-960-4770</w:t>
      </w:r>
    </w:p>
    <w:p>
      <w:pPr>
        <w:spacing w:before="0" w:after="280"/>
        <w:jc w:val="center"/>
      </w:pPr>
      <w:r>
        <w:rPr>
          <w:rFonts w:ascii="Arial" w:cs="Arial" w:eastAsia="Arial" w:hAnsi="Arial"/>
          <w:color w:val="BDC3C7"/>
          <w:sz w:val="18"/>
          <w:szCs w:val="18"/>
        </w:rPr>
        <w:t xml:space="preserve">v1.0  ·  Effective March 2026  ·  Review March 2027</w:t>
      </w:r>
    </w:p>
    <w:p>
      <w:pPr>
        <w:pBdr>
          <w:bottom w:val="single" w:color="1B3A6B" w:sz="8"/>
        </w:pBdr>
        <w:spacing w:before="0" w:after="0"/>
      </w:pPr>
    </w:p>
    <w:p>
      <w:pPr>
        <w:spacing w:before="0"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DC3C7" w:sz="1"/>
              <w:left w:val="single" w:color="BDC3C7" w:sz="1"/>
              <w:bottom w:val="single" w:color="BDC3C7" w:sz="1"/>
              <w:right w:val="single" w:color="BDC3C7" w:sz="1"/>
            </w:tcBorders>
            <w:shd w:fill="F4F6F8" w:val="clear"/>
            <w:tcMar>
              <w:top w:type="dxa" w:w="80"/>
              <w:left w:type="dxa" w:w="120"/>
              <w:bottom w:type="dxa" w:w="80"/>
              <w:right w:type="dxa" w:w="80"/>
            </w:tcMar>
          </w:tcPr>
          <w:p>
            <w:pPr>
              <w:spacing w:before="0" w:after="60"/>
            </w:pPr>
            <w:r>
              <w:rPr>
                <w:rFonts w:ascii="Arial" w:cs="Arial" w:eastAsia="Arial" w:hAnsi="Arial"/>
                <w:b/>
                <w:bCs/>
                <w:color w:val="888888"/>
                <w:sz w:val="19"/>
                <w:szCs w:val="19"/>
              </w:rPr>
              <w:t xml:space="preserve">Patient Name</w:t>
            </w:r>
          </w:p>
          <w:p>
            <w:pPr>
              <w:pBdr>
                <w:bottom w:val="single" w:color="BDC3C7" w:sz="3"/>
              </w:pBdr>
              <w:spacing w:before="280" w:after="60"/>
            </w:pPr>
          </w:p>
        </w:tc>
        <w:tc>
          <w:tcPr>
            <w:tcW w:type="dxa" w:w="4680"/>
            <w:tcBorders>
              <w:top w:val="single" w:color="BDC3C7" w:sz="1"/>
              <w:left w:val="single" w:color="BDC3C7" w:sz="1"/>
              <w:bottom w:val="single" w:color="BDC3C7" w:sz="1"/>
              <w:right w:val="single" w:color="BDC3C7" w:sz="1"/>
            </w:tcBorders>
            <w:shd w:fill="F4F6F8" w:val="clear"/>
            <w:tcMar>
              <w:top w:type="dxa" w:w="80"/>
              <w:left w:type="dxa" w:w="120"/>
              <w:bottom w:type="dxa" w:w="80"/>
              <w:right w:type="dxa" w:w="80"/>
            </w:tcMar>
          </w:tcPr>
          <w:p>
            <w:pPr>
              <w:spacing w:before="0" w:after="60"/>
            </w:pPr>
            <w:r>
              <w:rPr>
                <w:rFonts w:ascii="Arial" w:cs="Arial" w:eastAsia="Arial" w:hAnsi="Arial"/>
                <w:b/>
                <w:bCs/>
                <w:color w:val="888888"/>
                <w:sz w:val="19"/>
                <w:szCs w:val="19"/>
              </w:rPr>
              <w:t xml:space="preserve">Date of Birth</w:t>
            </w:r>
          </w:p>
          <w:p>
            <w:pPr>
              <w:pBdr>
                <w:bottom w:val="single" w:color="BDC3C7" w:sz="3"/>
              </w:pBdr>
              <w:spacing w:before="280" w:after="60"/>
            </w:pPr>
          </w:p>
        </w:tc>
      </w:tr>
      <w:tr>
        <w:tc>
          <w:tcPr>
            <w:tcW w:type="dxa" w:w="468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80"/>
            </w:tcMar>
          </w:tcPr>
          <w:p>
            <w:pPr>
              <w:spacing w:before="0" w:after="60"/>
            </w:pPr>
            <w:r>
              <w:rPr>
                <w:rFonts w:ascii="Arial" w:cs="Arial" w:eastAsia="Arial" w:hAnsi="Arial"/>
                <w:b/>
                <w:bCs/>
                <w:color w:val="888888"/>
                <w:sz w:val="19"/>
                <w:szCs w:val="19"/>
              </w:rPr>
              <w:t xml:space="preserve">Date of Consent</w:t>
            </w:r>
          </w:p>
          <w:p>
            <w:pPr>
              <w:pBdr>
                <w:bottom w:val="single" w:color="BDC3C7" w:sz="3"/>
              </w:pBdr>
              <w:spacing w:before="280" w:after="60"/>
            </w:pPr>
          </w:p>
        </w:tc>
        <w:tc>
          <w:tcPr>
            <w:tcW w:type="dxa" w:w="468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80"/>
            </w:tcMar>
          </w:tcPr>
          <w:p>
            <w:pPr>
              <w:spacing w:before="0" w:after="60"/>
            </w:pPr>
            <w:r>
              <w:rPr>
                <w:rFonts w:ascii="Arial" w:cs="Arial" w:eastAsia="Arial" w:hAnsi="Arial"/>
                <w:b/>
                <w:bCs/>
                <w:color w:val="888888"/>
                <w:sz w:val="19"/>
                <w:szCs w:val="19"/>
              </w:rPr>
              <w:t xml:space="preserve">Clinician</w:t>
            </w:r>
          </w:p>
          <w:p>
            <w:pPr>
              <w:pBdr>
                <w:bottom w:val="single" w:color="BDC3C7" w:sz="3"/>
              </w:pBdr>
              <w:spacing w:before="280" w:after="60"/>
            </w:pP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1.  Purpose of This Document</w:t>
            </w:r>
          </w:p>
        </w:tc>
      </w:tr>
    </w:tbl>
    <w:p>
      <w:pPr>
        <w:spacing w:before="0" w:after="160"/>
      </w:pPr>
    </w:p>
    <w:p>
      <w:pPr>
        <w:spacing w:before="20" w:after="100"/>
      </w:pPr>
      <w:r>
        <w:rPr>
          <w:rFonts w:ascii="Arial" w:cs="Arial" w:eastAsia="Arial" w:hAnsi="Arial"/>
          <w:color w:val="1A1A2E"/>
          <w:sz w:val="22"/>
          <w:szCs w:val="22"/>
        </w:rPr>
        <w:t xml:space="preserve">This document provides you with information about the diagnosis of testosterone deficiency and the treatment options that may be recommended at Revive Low T Clinic. It is intended to support an informed conversation with your clinician so that you can make a voluntary, considered decision about your care.</w:t>
      </w:r>
    </w:p>
    <w:p>
      <w:pPr>
        <w:spacing w:before="0" w:after="100"/>
      </w:pPr>
    </w:p>
    <w:p>
      <w:pPr>
        <w:spacing w:before="20" w:after="100"/>
      </w:pPr>
      <w:r>
        <w:rPr>
          <w:rFonts w:ascii="Arial" w:cs="Arial" w:eastAsia="Arial" w:hAnsi="Arial"/>
          <w:color w:val="1A1A2E"/>
          <w:sz w:val="22"/>
          <w:szCs w:val="22"/>
        </w:rPr>
        <w:t xml:space="preserve">Please read this document carefully and ask your clinician any questions before signing. You have the right to take time to consider this information, to seek a second opinion, and to refuse or discontinue treatment at any time without affecting your ongoing care at this clinic.</w:t>
      </w:r>
    </w:p>
    <w:p>
      <w:pPr>
        <w:spacing w:before="0" w:after="100"/>
      </w:pPr>
    </w:p>
    <w:tbl>
      <w:tblPr>
        <w:tblW w:type="dxa" w:w="9360"/>
        <w:tblBorders>
          <w:top w:val="none" w:color="FFFFFF" w:sz="0"/>
          <w:left w:val="single" w:color="1A7A8C"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AF4F8" w:val="clear"/>
            <w:tcMar>
              <w:top w:type="dxa" w:w="60"/>
              <w:left w:type="dxa" w:w="140"/>
              <w:bottom w:type="dxa" w:w="0"/>
              <w:right w:type="dxa" w:w="140"/>
            </w:tcMar>
          </w:tcPr>
          <w:p>
            <w:pPr>
              <w:spacing w:before="0" w:after="40"/>
            </w:pPr>
            <w:r>
              <w:rPr>
                <w:rFonts w:ascii="Arial" w:cs="Arial" w:eastAsia="Arial" w:hAnsi="Arial"/>
                <w:b/>
                <w:bCs/>
                <w:color w:val="1A7A8C"/>
                <w:sz w:val="20"/>
                <w:szCs w:val="20"/>
              </w:rPr>
              <w:t xml:space="preserve">Your Rights as a Patient</w:t>
            </w:r>
          </w:p>
        </w:tc>
      </w:tr>
      <w:tr>
        <w:tc>
          <w:tcPr>
            <w:tcW w:type="dxa" w:w="9360"/>
            <w:tcBorders>
              <w:top w:val="none" w:color="FFFFFF" w:sz="0"/>
              <w:left w:val="none" w:color="FFFFFF" w:sz="0"/>
              <w:bottom w:val="none" w:color="FFFFFF" w:sz="0"/>
              <w:right w:val="none" w:color="FFFFFF" w:sz="0"/>
            </w:tcBorders>
            <w:shd w:fill="EAF4F8"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You have the right to: (1) receive complete information about your diagnosis and all treatment options including non-treatment; (2) ask questions and receive clear answers; (3) refuse any treatment without penalty; (4) withdraw consent at any time. Signing this form does not waive any of these rights.</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2.  Diagnosis — Testosterone Deficiency</w:t>
            </w:r>
          </w:p>
        </w:tc>
      </w:tr>
    </w:tbl>
    <w:p>
      <w:pPr>
        <w:spacing w:before="0" w:after="160"/>
      </w:pPr>
    </w:p>
    <w:p>
      <w:pPr>
        <w:spacing w:before="20" w:after="100"/>
      </w:pPr>
      <w:r>
        <w:rPr>
          <w:rFonts w:ascii="Arial" w:cs="Arial" w:eastAsia="Arial" w:hAnsi="Arial"/>
          <w:color w:val="1A1A2E"/>
          <w:sz w:val="22"/>
          <w:szCs w:val="22"/>
        </w:rPr>
        <w:t xml:space="preserve">Testosterone deficiency (hypogonadism) is a clinical syndrome — a combination of measurable hormonal findings AND the symptoms or signs they produce. The following describes what testosterone does in the body, what happens when levels fall, and how the diagnosis is made.</w:t>
      </w:r>
    </w:p>
    <w:p>
      <w:pPr>
        <w:spacing w:before="0" w:after="160"/>
      </w:pPr>
    </w:p>
    <w:p>
      <w:pPr>
        <w:pStyle w:val="Heading2"/>
        <w:spacing w:before="160" w:after="80"/>
      </w:pPr>
      <w:r>
        <w:rPr>
          <w:rFonts w:ascii="Arial" w:cs="Arial" w:eastAsia="Arial" w:hAnsi="Arial"/>
          <w:b/>
          <w:bCs/>
          <w:color w:val="1A7A8C"/>
          <w:sz w:val="24"/>
          <w:szCs w:val="24"/>
        </w:rPr>
        <w:t xml:space="preserve">2.1  Signs and Symptoms of Testosterone Deficiency</w:t>
      </w:r>
    </w:p>
    <w:p>
      <w:pPr>
        <w:spacing w:before="20" w:after="100"/>
      </w:pPr>
      <w:r>
        <w:rPr>
          <w:rFonts w:ascii="Arial" w:cs="Arial" w:eastAsia="Arial" w:hAnsi="Arial"/>
          <w:color w:val="1A1A2E"/>
          <w:sz w:val="22"/>
          <w:szCs w:val="22"/>
        </w:rPr>
        <w:t xml:space="preserve">Symptoms develop gradually and are often attributed to stress, ageing, or lifestyle. Many men live with untreated deficiency for years before seeking evaluation.</w:t>
      </w:r>
    </w:p>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3630"/>
        <w:gridCol w:w="3630"/>
      </w:tblGrid>
      <w:tr>
        <w:tc>
          <w:tcPr>
            <w:tcW w:type="dxa" w:w="2100"/>
            <w:tcBorders>
              <w:top w:val="single" w:color="1B3A6B" w:sz="1"/>
              <w:left w:val="single" w:color="1B3A6B" w:sz="1"/>
              <w:bottom w:val="single" w:color="1B3A6B" w:sz="1"/>
              <w:right w:val="single" w:color="1B3A6B" w:sz="1"/>
            </w:tcBorders>
            <w:shd w:fill="1B3A6B" w:val="clear"/>
            <w:tcMar>
              <w:top w:type="dxa" w:w="70"/>
              <w:left w:type="dxa" w:w="120"/>
              <w:bottom w:type="dxa" w:w="70"/>
              <w:right w:type="dxa" w:w="80"/>
            </w:tcMar>
          </w:tcPr>
          <w:p>
            <w:pPr>
              <w:spacing w:before="0" w:after="0"/>
            </w:pPr>
            <w:r>
              <w:rPr>
                <w:rFonts w:ascii="Arial" w:cs="Arial" w:eastAsia="Arial" w:hAnsi="Arial"/>
                <w:b/>
                <w:bCs/>
                <w:color w:val="FFFFFF"/>
                <w:sz w:val="20"/>
                <w:szCs w:val="20"/>
              </w:rPr>
              <w:t xml:space="preserve">Category</w:t>
            </w:r>
          </w:p>
        </w:tc>
        <w:tc>
          <w:tcPr>
            <w:tcW w:type="dxa" w:w="3630"/>
            <w:tcBorders>
              <w:top w:val="single" w:color="1B3A6B" w:sz="1"/>
              <w:left w:val="single" w:color="1B3A6B" w:sz="1"/>
              <w:bottom w:val="single" w:color="1B3A6B" w:sz="1"/>
              <w:right w:val="single" w:color="1B3A6B" w:sz="1"/>
            </w:tcBorders>
            <w:shd w:fill="1B3A6B" w:val="clear"/>
            <w:tcMar>
              <w:top w:type="dxa" w:w="70"/>
              <w:left w:type="dxa" w:w="120"/>
              <w:bottom w:type="dxa" w:w="70"/>
              <w:right w:type="dxa" w:w="80"/>
            </w:tcMar>
          </w:tcPr>
          <w:p>
            <w:pPr>
              <w:spacing w:before="0" w:after="0"/>
            </w:pPr>
            <w:r>
              <w:rPr>
                <w:rFonts w:ascii="Arial" w:cs="Arial" w:eastAsia="Arial" w:hAnsi="Arial"/>
                <w:b/>
                <w:bCs/>
                <w:color w:val="FFFFFF"/>
                <w:sz w:val="20"/>
                <w:szCs w:val="20"/>
              </w:rPr>
              <w:t xml:space="preserve">Common Symptoms</w:t>
            </w:r>
          </w:p>
        </w:tc>
        <w:tc>
          <w:tcPr>
            <w:tcW w:type="dxa" w:w="3630"/>
            <w:tcBorders>
              <w:top w:val="single" w:color="1B3A6B" w:sz="1"/>
              <w:left w:val="single" w:color="1B3A6B" w:sz="1"/>
              <w:bottom w:val="single" w:color="1B3A6B" w:sz="1"/>
              <w:right w:val="single" w:color="1B3A6B" w:sz="1"/>
            </w:tcBorders>
            <w:shd w:fill="1B3A6B" w:val="clear"/>
            <w:tcMar>
              <w:top w:type="dxa" w:w="70"/>
              <w:left w:type="dxa" w:w="120"/>
              <w:bottom w:type="dxa" w:w="70"/>
              <w:right w:type="dxa" w:w="80"/>
            </w:tcMar>
          </w:tcPr>
          <w:p>
            <w:pPr>
              <w:spacing w:before="0" w:after="0"/>
            </w:pPr>
            <w:r>
              <w:rPr>
                <w:rFonts w:ascii="Arial" w:cs="Arial" w:eastAsia="Arial" w:hAnsi="Arial"/>
                <w:b/>
                <w:bCs/>
                <w:color w:val="FFFFFF"/>
                <w:sz w:val="20"/>
                <w:szCs w:val="20"/>
              </w:rPr>
              <w:t xml:space="preserve">How Patients Often Notice This</w:t>
            </w:r>
          </w:p>
        </w:tc>
      </w:tr>
      <w:tr>
        <w:tc>
          <w:tcPr>
            <w:tcW w:type="dxa" w:w="21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A7A8C"/>
                <w:sz w:val="20"/>
                <w:szCs w:val="20"/>
              </w:rPr>
              <w:t xml:space="preserve">Energy &amp; Fatigue</w:t>
            </w:r>
          </w:p>
        </w:tc>
        <w:tc>
          <w:tcPr>
            <w:tcW w:type="dxa" w:w="363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val="false"/>
                <w:bCs w:val="false"/>
                <w:color w:val="1A1A2E"/>
                <w:sz w:val="20"/>
                <w:szCs w:val="20"/>
              </w:rPr>
              <w:t xml:space="preserve">Persistent low energy, fatigue despite adequate sleep, reduced stamina and motivation</w:t>
            </w:r>
          </w:p>
        </w:tc>
        <w:tc>
          <w:tcPr>
            <w:tcW w:type="dxa" w:w="363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val="false"/>
                <w:bCs w:val="false"/>
                <w:color w:val="1A1A2E"/>
                <w:sz w:val="20"/>
                <w:szCs w:val="20"/>
              </w:rPr>
              <w:t xml:space="preserve">Difficulty sustaining physical activity or concentration through the day</w:t>
            </w:r>
          </w:p>
        </w:tc>
      </w:tr>
      <w:tr>
        <w:tc>
          <w:tcPr>
            <w:tcW w:type="dxa" w:w="21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A7A8C"/>
                <w:sz w:val="20"/>
                <w:szCs w:val="20"/>
              </w:rPr>
              <w:t xml:space="preserve">Sexual Health</w:t>
            </w:r>
          </w:p>
        </w:tc>
        <w:tc>
          <w:tcPr>
            <w:tcW w:type="dxa" w:w="363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val="false"/>
                <w:bCs w:val="false"/>
                <w:color w:val="1A1A2E"/>
                <w:sz w:val="20"/>
                <w:szCs w:val="20"/>
              </w:rPr>
              <w:t xml:space="preserve">Reduced or absent libido, difficulty achieving or maintaining erections, reduced spontaneous erections, reduced ejaculate volume</w:t>
            </w:r>
          </w:p>
        </w:tc>
        <w:tc>
          <w:tcPr>
            <w:tcW w:type="dxa" w:w="363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val="false"/>
                <w:bCs w:val="false"/>
                <w:color w:val="1A1A2E"/>
                <w:sz w:val="20"/>
                <w:szCs w:val="20"/>
              </w:rPr>
              <w:t xml:space="preserve">Decreased sexual satisfaction; relationship impact</w:t>
            </w:r>
          </w:p>
        </w:tc>
      </w:tr>
      <w:tr>
        <w:tc>
          <w:tcPr>
            <w:tcW w:type="dxa" w:w="21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A7A8C"/>
                <w:sz w:val="20"/>
                <w:szCs w:val="20"/>
              </w:rPr>
              <w:t xml:space="preserve">Body Composition</w:t>
            </w:r>
          </w:p>
        </w:tc>
        <w:tc>
          <w:tcPr>
            <w:tcW w:type="dxa" w:w="363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val="false"/>
                <w:bCs w:val="false"/>
                <w:color w:val="1A1A2E"/>
                <w:sz w:val="20"/>
                <w:szCs w:val="20"/>
              </w:rPr>
              <w:t xml:space="preserve">Loss of muscle mass and strength; increased body fat particularly around the abdomen and chest</w:t>
            </w:r>
          </w:p>
        </w:tc>
        <w:tc>
          <w:tcPr>
            <w:tcW w:type="dxa" w:w="363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val="false"/>
                <w:bCs w:val="false"/>
                <w:color w:val="1A1A2E"/>
                <w:sz w:val="20"/>
                <w:szCs w:val="20"/>
              </w:rPr>
              <w:t xml:space="preserve">Weight gain despite unchanged diet and activity level</w:t>
            </w:r>
          </w:p>
        </w:tc>
      </w:tr>
      <w:tr>
        <w:tc>
          <w:tcPr>
            <w:tcW w:type="dxa" w:w="21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A7A8C"/>
                <w:sz w:val="20"/>
                <w:szCs w:val="20"/>
              </w:rPr>
              <w:t xml:space="preserve">Mood &amp; Cognition</w:t>
            </w:r>
          </w:p>
        </w:tc>
        <w:tc>
          <w:tcPr>
            <w:tcW w:type="dxa" w:w="363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val="false"/>
                <w:bCs w:val="false"/>
                <w:color w:val="1A1A2E"/>
                <w:sz w:val="20"/>
                <w:szCs w:val="20"/>
              </w:rPr>
              <w:t xml:space="preserve">Depression, irritability, anxiety, poor concentration, reduced memory and mental sharpness</w:t>
            </w:r>
          </w:p>
        </w:tc>
        <w:tc>
          <w:tcPr>
            <w:tcW w:type="dxa" w:w="363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val="false"/>
                <w:bCs w:val="false"/>
                <w:color w:val="1A1A2E"/>
                <w:sz w:val="20"/>
                <w:szCs w:val="20"/>
              </w:rPr>
              <w:t xml:space="preserve">‘Brain fog’; emotional flatness; loss of competitive drive</w:t>
            </w:r>
          </w:p>
        </w:tc>
      </w:tr>
      <w:tr>
        <w:tc>
          <w:tcPr>
            <w:tcW w:type="dxa" w:w="21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A7A8C"/>
                <w:sz w:val="20"/>
                <w:szCs w:val="20"/>
              </w:rPr>
              <w:t xml:space="preserve">Sleep</w:t>
            </w:r>
          </w:p>
        </w:tc>
        <w:tc>
          <w:tcPr>
            <w:tcW w:type="dxa" w:w="363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val="false"/>
                <w:bCs w:val="false"/>
                <w:color w:val="1A1A2E"/>
                <w:sz w:val="20"/>
                <w:szCs w:val="20"/>
              </w:rPr>
              <w:t xml:space="preserve">Difficulty falling or staying asleep; non-restorative sleep; increased sleep apnea risk</w:t>
            </w:r>
          </w:p>
        </w:tc>
        <w:tc>
          <w:tcPr>
            <w:tcW w:type="dxa" w:w="363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val="false"/>
                <w:bCs w:val="false"/>
                <w:color w:val="1A1A2E"/>
                <w:sz w:val="20"/>
                <w:szCs w:val="20"/>
              </w:rPr>
              <w:t xml:space="preserve">Daytime sleepiness; waking unrefreshed</w:t>
            </w:r>
          </w:p>
        </w:tc>
      </w:tr>
      <w:tr>
        <w:tc>
          <w:tcPr>
            <w:tcW w:type="dxa" w:w="21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A7A8C"/>
                <w:sz w:val="20"/>
                <w:szCs w:val="20"/>
              </w:rPr>
              <w:t xml:space="preserve">Physical Signs</w:t>
            </w:r>
          </w:p>
        </w:tc>
        <w:tc>
          <w:tcPr>
            <w:tcW w:type="dxa" w:w="363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val="false"/>
                <w:bCs w:val="false"/>
                <w:color w:val="1A1A2E"/>
                <w:sz w:val="20"/>
                <w:szCs w:val="20"/>
              </w:rPr>
              <w:t xml:space="preserve">Reduced body and facial hair; breast tissue development (gynecomastia); testicular shrinkage; reduced bone density over time</w:t>
            </w:r>
          </w:p>
        </w:tc>
        <w:tc>
          <w:tcPr>
            <w:tcW w:type="dxa" w:w="363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val="false"/>
                <w:bCs w:val="false"/>
                <w:color w:val="1A1A2E"/>
                <w:sz w:val="20"/>
                <w:szCs w:val="20"/>
              </w:rPr>
              <w:t xml:space="preserve">Findings on physical examination or bone density scan</w:t>
            </w:r>
          </w:p>
        </w:tc>
      </w:tr>
      <w:tr>
        <w:tc>
          <w:tcPr>
            <w:tcW w:type="dxa" w:w="21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A7A8C"/>
                <w:sz w:val="20"/>
                <w:szCs w:val="20"/>
              </w:rPr>
              <w:t xml:space="preserve">Other</w:t>
            </w:r>
          </w:p>
        </w:tc>
        <w:tc>
          <w:tcPr>
            <w:tcW w:type="dxa" w:w="363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val="false"/>
                <w:bCs w:val="false"/>
                <w:color w:val="1A1A2E"/>
                <w:sz w:val="20"/>
                <w:szCs w:val="20"/>
              </w:rPr>
              <w:t xml:space="preserve">Hot flushes, sweating episodes, anaemia, reduced shaving frequency</w:t>
            </w:r>
          </w:p>
        </w:tc>
        <w:tc>
          <w:tcPr>
            <w:tcW w:type="dxa" w:w="363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val="false"/>
                <w:bCs w:val="false"/>
                <w:color w:val="1A1A2E"/>
                <w:sz w:val="20"/>
                <w:szCs w:val="20"/>
              </w:rPr>
              <w:t xml:space="preserve">Less commonly recognised as testosterone-related</w:t>
            </w:r>
          </w:p>
        </w:tc>
      </w:tr>
    </w:tbl>
    <w:p>
      <w:pPr>
        <w:spacing w:before="0" w:after="120"/>
      </w:pPr>
    </w:p>
    <w:tbl>
      <w:tblPr>
        <w:tblW w:type="dxa" w:w="9360"/>
        <w:tblBorders>
          <w:top w:val="none" w:color="FFFFFF" w:sz="0"/>
          <w:left w:val="single" w:color="1A7A8C"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AF4F8" w:val="clear"/>
            <w:tcMar>
              <w:top w:type="dxa" w:w="80"/>
              <w:left w:type="dxa" w:w="140"/>
              <w:bottom w:type="dxa" w:w="80"/>
              <w:right w:type="dxa" w:w="140"/>
            </w:tcMar>
          </w:tcPr>
          <w:p>
            <w:pPr>
              <w:spacing w:before="0" w:after="0"/>
            </w:pPr>
            <w:r>
              <w:rPr>
                <w:rFonts w:ascii="Arial" w:cs="Arial" w:eastAsia="Arial" w:hAnsi="Arial"/>
                <w:color w:val="1A1A2E"/>
                <w:sz w:val="20"/>
                <w:szCs w:val="20"/>
              </w:rPr>
              <w:t xml:space="preserve">No single symptom confirms testosterone deficiency, and these symptoms overlap with many other conditions including depression, thyroid disorders, sleep apnea, and medication side effects. A thorough clinical evaluation is essential before treatment.</w:t>
            </w:r>
          </w:p>
        </w:tc>
      </w:tr>
    </w:tbl>
    <w:p>
      <w:pPr>
        <w:spacing w:before="0" w:after="200"/>
      </w:pPr>
    </w:p>
    <w:p>
      <w:pPr>
        <w:pStyle w:val="Heading2"/>
        <w:spacing w:before="160" w:after="80"/>
      </w:pPr>
      <w:r>
        <w:rPr>
          <w:rFonts w:ascii="Arial" w:cs="Arial" w:eastAsia="Arial" w:hAnsi="Arial"/>
          <w:b/>
          <w:bCs/>
          <w:color w:val="1A7A8C"/>
          <w:sz w:val="24"/>
          <w:szCs w:val="24"/>
        </w:rPr>
        <w:t xml:space="preserve">2.2  How the Diagnosis Is Made</w:t>
      </w:r>
    </w:p>
    <w:p>
      <w:pPr>
        <w:spacing w:before="20" w:after="100"/>
      </w:pPr>
      <w:r>
        <w:rPr>
          <w:rFonts w:ascii="Arial" w:cs="Arial" w:eastAsia="Arial" w:hAnsi="Arial"/>
          <w:color w:val="1A1A2E"/>
          <w:sz w:val="22"/>
          <w:szCs w:val="22"/>
        </w:rPr>
        <w:t xml:space="preserve">The widely cited AUA clinical threshold for testosterone deficiency is a total testosterone below 300 ng/dL confirmed on two separate morning draws before 10:00 AM, accompanied by symptoms consistent with deficiency, with no other explanation for those symptoms. This is the minimum diagnostic criterion.</w:t>
      </w:r>
    </w:p>
    <w:p>
      <w:pPr>
        <w:spacing w:before="0" w:after="120"/>
      </w:pPr>
    </w:p>
    <w:p>
      <w:pPr>
        <w:spacing w:before="20" w:after="100"/>
      </w:pPr>
      <w:r>
        <w:rPr>
          <w:rFonts w:ascii="Arial" w:cs="Arial" w:eastAsia="Arial" w:hAnsi="Arial"/>
          <w:color w:val="1A1A2E"/>
          <w:sz w:val="22"/>
          <w:szCs w:val="22"/>
        </w:rPr>
        <w:t xml:space="preserve">However, this threshold has meaningful limitations that your clinician will take into account when evaluating your results.</w:t>
      </w:r>
    </w:p>
    <w:p>
      <w:pPr>
        <w:spacing w:before="0" w:after="160"/>
      </w:pPr>
    </w:p>
    <w:p>
      <w:pPr>
        <w:pStyle w:val="Heading2"/>
        <w:spacing w:before="160" w:after="80"/>
      </w:pPr>
      <w:r>
        <w:rPr>
          <w:rFonts w:ascii="Arial" w:cs="Arial" w:eastAsia="Arial" w:hAnsi="Arial"/>
          <w:b/>
          <w:bCs/>
          <w:color w:val="1A7A8C"/>
          <w:sz w:val="24"/>
          <w:szCs w:val="24"/>
        </w:rPr>
        <w:t xml:space="preserve">2.3  Why 300 ng/dL May Not Be the Right Threshold for You</w:t>
      </w:r>
    </w:p>
    <w:p>
      <w:pPr>
        <w:spacing w:before="20" w:after="100"/>
      </w:pPr>
      <w:r>
        <w:rPr>
          <w:rFonts w:ascii="Arial" w:cs="Arial" w:eastAsia="Arial" w:hAnsi="Arial"/>
          <w:color w:val="1A1A2E"/>
          <w:sz w:val="22"/>
          <w:szCs w:val="22"/>
        </w:rPr>
        <w:t xml:space="preserve">The 300 ng/dL cutoff was established by consensus panels studying primarily older men with multiple comorbidities — not the population most relevant to younger or middle-aged symptomatic men. A growing body of peer-reviewed evidence suggests the biologically meaningful threshold is substantially higher. Revive’s clinical position is that 450 ng/dL may be a more appropriate threshold for considering treatment in symptomatic men. The following summarises that total testosterone evidence:</w:t>
      </w:r>
    </w:p>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1B3A6B" w:sz="1"/>
              <w:left w:val="single" w:color="1B3A6B" w:sz="1"/>
              <w:bottom w:val="single" w:color="1B3A6B" w:sz="1"/>
              <w:right w:val="single" w:color="1B3A6B" w:sz="1"/>
            </w:tcBorders>
            <w:shd w:fill="1B3A6B" w:val="clear"/>
            <w:tcMar>
              <w:top w:type="dxa" w:w="70"/>
              <w:left w:type="dxa" w:w="120"/>
              <w:bottom w:type="dxa" w:w="70"/>
              <w:right w:type="dxa" w:w="80"/>
            </w:tcMar>
          </w:tcPr>
          <w:p>
            <w:pPr>
              <w:spacing w:before="0" w:after="0"/>
            </w:pPr>
            <w:r>
              <w:rPr>
                <w:rFonts w:ascii="Arial" w:cs="Arial" w:eastAsia="Arial" w:hAnsi="Arial"/>
                <w:b/>
                <w:bCs/>
                <w:color w:val="FFFFFF"/>
                <w:sz w:val="20"/>
                <w:szCs w:val="20"/>
              </w:rPr>
              <w:t xml:space="preserve">Evidence Source</w:t>
            </w:r>
          </w:p>
        </w:tc>
        <w:tc>
          <w:tcPr>
            <w:tcW w:type="dxa" w:w="6160"/>
            <w:tcBorders>
              <w:top w:val="single" w:color="1B3A6B" w:sz="1"/>
              <w:left w:val="single" w:color="1B3A6B" w:sz="1"/>
              <w:bottom w:val="single" w:color="1B3A6B" w:sz="1"/>
              <w:right w:val="single" w:color="1B3A6B" w:sz="1"/>
            </w:tcBorders>
            <w:shd w:fill="1B3A6B" w:val="clear"/>
            <w:tcMar>
              <w:top w:type="dxa" w:w="70"/>
              <w:left w:type="dxa" w:w="120"/>
              <w:bottom w:type="dxa" w:w="70"/>
              <w:right w:type="dxa" w:w="80"/>
            </w:tcMar>
          </w:tcPr>
          <w:p>
            <w:pPr>
              <w:spacing w:before="0" w:after="0"/>
            </w:pPr>
            <w:r>
              <w:rPr>
                <w:rFonts w:ascii="Arial" w:cs="Arial" w:eastAsia="Arial" w:hAnsi="Arial"/>
                <w:b/>
                <w:bCs/>
                <w:color w:val="FFFFFF"/>
                <w:sz w:val="20"/>
                <w:szCs w:val="20"/>
              </w:rPr>
              <w:t xml:space="preserve">Key Finding</w:t>
            </w:r>
          </w:p>
        </w:tc>
      </w:tr>
      <w:tr>
        <w:tc>
          <w:tcPr>
            <w:tcW w:type="dxa" w:w="3200"/>
            <w:tcBorders>
              <w:top w:val="single" w:color="BDC3C7" w:sz="1"/>
              <w:left w:val="single" w:color="BDC3C7" w:sz="1"/>
              <w:bottom w:val="single" w:color="BDC3C7" w:sz="1"/>
              <w:right w:val="single" w:color="BDC3C7" w:sz="1"/>
            </w:tcBorders>
            <w:shd w:fill="FFFFFF" w:val="clear"/>
            <w:tcMar>
              <w:top w:type="dxa" w:w="70"/>
              <w:left w:type="dxa" w:w="120"/>
              <w:bottom w:type="dxa" w:w="70"/>
              <w:right w:type="dxa" w:w="80"/>
            </w:tcMar>
          </w:tcPr>
          <w:p>
            <w:pPr>
              <w:spacing w:before="0" w:after="0"/>
            </w:pPr>
            <w:r>
              <w:rPr>
                <w:rFonts w:ascii="Arial" w:cs="Arial" w:eastAsia="Arial" w:hAnsi="Arial"/>
                <w:b/>
                <w:bCs/>
                <w:color w:val="1A7A8C"/>
                <w:sz w:val="20"/>
                <w:szCs w:val="20"/>
              </w:rPr>
              <w:t xml:space="preserve">AUA therapeutic target</w:t>
            </w:r>
          </w:p>
        </w:tc>
        <w:tc>
          <w:tcPr>
            <w:tcW w:type="dxa" w:w="6160"/>
            <w:tcBorders>
              <w:top w:val="single" w:color="BDC3C7" w:sz="1"/>
              <w:left w:val="single" w:color="BDC3C7" w:sz="1"/>
              <w:bottom w:val="single" w:color="BDC3C7" w:sz="1"/>
              <w:right w:val="single" w:color="BDC3C7" w:sz="1"/>
            </w:tcBorders>
            <w:shd w:fill="FFFFFF" w:val="clear"/>
            <w:tcMar>
              <w:top w:type="dxa" w:w="70"/>
              <w:left w:type="dxa" w:w="120"/>
              <w:bottom w:type="dxa" w:w="70"/>
              <w:right w:type="dxa" w:w="80"/>
            </w:tcMar>
          </w:tcPr>
          <w:p>
            <w:pPr>
              <w:spacing w:before="0" w:after="0"/>
            </w:pPr>
            <w:r>
              <w:rPr>
                <w:rFonts w:ascii="Arial" w:cs="Arial" w:eastAsia="Arial" w:hAnsi="Arial"/>
                <w:b w:val="false"/>
                <w:bCs w:val="false"/>
                <w:color w:val="1A1A2E"/>
                <w:sz w:val="20"/>
                <w:szCs w:val="20"/>
              </w:rPr>
              <w:t xml:space="preserve">The same AUA guideline that uses 300 ng/dL as a diagnostic threshold defines the goal of treatment as achieving the ‘normal physiologic range’ of 450–600 ng/dL. A man at 380 ng/dL is already below what the AUA considers normal — yet would not qualify for a diagnosis under the 300 ng/dL rule.</w:t>
            </w:r>
          </w:p>
        </w:tc>
      </w:tr>
      <w:tr>
        <w:tc>
          <w:tcPr>
            <w:tcW w:type="dxa" w:w="3200"/>
            <w:tcBorders>
              <w:top w:val="single" w:color="BDC3C7" w:sz="1"/>
              <w:left w:val="single" w:color="BDC3C7" w:sz="1"/>
              <w:bottom w:val="single" w:color="BDC3C7" w:sz="1"/>
              <w:right w:val="single" w:color="BDC3C7" w:sz="1"/>
            </w:tcBorders>
            <w:shd w:fill="F4F6F8" w:val="clear"/>
            <w:tcMar>
              <w:top w:type="dxa" w:w="70"/>
              <w:left w:type="dxa" w:w="120"/>
              <w:bottom w:type="dxa" w:w="70"/>
              <w:right w:type="dxa" w:w="80"/>
            </w:tcMar>
          </w:tcPr>
          <w:p>
            <w:pPr>
              <w:spacing w:before="0" w:after="0"/>
            </w:pPr>
            <w:r>
              <w:rPr>
                <w:rFonts w:ascii="Arial" w:cs="Arial" w:eastAsia="Arial" w:hAnsi="Arial"/>
                <w:b/>
                <w:bCs/>
                <w:color w:val="1A7A8C"/>
                <w:sz w:val="20"/>
                <w:szCs w:val="20"/>
              </w:rPr>
              <w:t xml:space="preserve">NHANES data (Zhu et al., J Urol 2022)</w:t>
            </w:r>
          </w:p>
        </w:tc>
        <w:tc>
          <w:tcPr>
            <w:tcW w:type="dxa" w:w="6160"/>
            <w:tcBorders>
              <w:top w:val="single" w:color="BDC3C7" w:sz="1"/>
              <w:left w:val="single" w:color="BDC3C7" w:sz="1"/>
              <w:bottom w:val="single" w:color="BDC3C7" w:sz="1"/>
              <w:right w:val="single" w:color="BDC3C7" w:sz="1"/>
            </w:tcBorders>
            <w:shd w:fill="F4F6F8" w:val="clear"/>
            <w:tcMar>
              <w:top w:type="dxa" w:w="70"/>
              <w:left w:type="dxa" w:w="120"/>
              <w:bottom w:type="dxa" w:w="70"/>
              <w:right w:type="dxa" w:w="80"/>
            </w:tcMar>
          </w:tcPr>
          <w:p>
            <w:pPr>
              <w:spacing w:before="0" w:after="0"/>
            </w:pPr>
            <w:r>
              <w:rPr>
                <w:rFonts w:ascii="Arial" w:cs="Arial" w:eastAsia="Arial" w:hAnsi="Arial"/>
                <w:b w:val="false"/>
                <w:bCs w:val="false"/>
                <w:color w:val="1A1A2E"/>
                <w:sz w:val="20"/>
                <w:szCs w:val="20"/>
              </w:rPr>
              <w:t xml:space="preserve">Using the gold-standard LC-MS/MS assay on a nationally representative U.S. sample, the mean testosterone in men aged 20–44 was 466 ng/dL. The lower bound of the normal middle tertile for men in their 20s was 409–413 ng/dL — not 300 ng/dL. The authors concluded the 300 ng/dL cutoff was derived from older populations and does not apply to younger men.</w:t>
            </w:r>
          </w:p>
        </w:tc>
      </w:tr>
      <w:tr>
        <w:tc>
          <w:tcPr>
            <w:tcW w:type="dxa" w:w="3200"/>
            <w:tcBorders>
              <w:top w:val="single" w:color="BDC3C7" w:sz="1"/>
              <w:left w:val="single" w:color="BDC3C7" w:sz="1"/>
              <w:bottom w:val="single" w:color="BDC3C7" w:sz="1"/>
              <w:right w:val="single" w:color="BDC3C7" w:sz="1"/>
            </w:tcBorders>
            <w:shd w:fill="FFFFFF" w:val="clear"/>
            <w:tcMar>
              <w:top w:type="dxa" w:w="70"/>
              <w:left w:type="dxa" w:w="120"/>
              <w:bottom w:type="dxa" w:w="70"/>
              <w:right w:type="dxa" w:w="80"/>
            </w:tcMar>
          </w:tcPr>
          <w:p>
            <w:pPr>
              <w:spacing w:before="0" w:after="0"/>
            </w:pPr>
            <w:r>
              <w:rPr>
                <w:rFonts w:ascii="Arial" w:cs="Arial" w:eastAsia="Arial" w:hAnsi="Arial"/>
                <w:b/>
                <w:bCs/>
                <w:color w:val="1A7A8C"/>
                <w:sz w:val="20"/>
                <w:szCs w:val="20"/>
              </w:rPr>
              <w:t xml:space="preserve">5th percentile of healthy men (StatPearls, 2024)</w:t>
            </w:r>
          </w:p>
        </w:tc>
        <w:tc>
          <w:tcPr>
            <w:tcW w:type="dxa" w:w="6160"/>
            <w:tcBorders>
              <w:top w:val="single" w:color="BDC3C7" w:sz="1"/>
              <w:left w:val="single" w:color="BDC3C7" w:sz="1"/>
              <w:bottom w:val="single" w:color="BDC3C7" w:sz="1"/>
              <w:right w:val="single" w:color="BDC3C7" w:sz="1"/>
            </w:tcBorders>
            <w:shd w:fill="FFFFFF" w:val="clear"/>
            <w:tcMar>
              <w:top w:type="dxa" w:w="70"/>
              <w:left w:type="dxa" w:w="120"/>
              <w:bottom w:type="dxa" w:w="70"/>
              <w:right w:type="dxa" w:w="80"/>
            </w:tcMar>
          </w:tcPr>
          <w:p>
            <w:pPr>
              <w:spacing w:before="0" w:after="0"/>
            </w:pPr>
            <w:r>
              <w:rPr>
                <w:rFonts w:ascii="Arial" w:cs="Arial" w:eastAsia="Arial" w:hAnsi="Arial"/>
                <w:b w:val="false"/>
                <w:bCs w:val="false"/>
                <w:color w:val="1A1A2E"/>
                <w:sz w:val="20"/>
                <w:szCs w:val="20"/>
              </w:rPr>
              <w:t xml:space="preserve">The conventional statistical definition of ‘below normal’ in endocrinology is the 5th percentile of a healthy reference population. For total testosterone, that value is approximately 405.9 ng/dL. By this standard, a man at 380 ng/dL is below the lower limit of normal despite being above the 300 ng/dL threshold.</w:t>
            </w:r>
          </w:p>
        </w:tc>
      </w:tr>
      <w:tr>
        <w:tc>
          <w:tcPr>
            <w:tcW w:type="dxa" w:w="3200"/>
            <w:tcBorders>
              <w:top w:val="single" w:color="BDC3C7" w:sz="1"/>
              <w:left w:val="single" w:color="BDC3C7" w:sz="1"/>
              <w:bottom w:val="single" w:color="BDC3C7" w:sz="1"/>
              <w:right w:val="single" w:color="BDC3C7" w:sz="1"/>
            </w:tcBorders>
            <w:shd w:fill="F4F6F8" w:val="clear"/>
            <w:tcMar>
              <w:top w:type="dxa" w:w="70"/>
              <w:left w:type="dxa" w:w="120"/>
              <w:bottom w:type="dxa" w:w="70"/>
              <w:right w:type="dxa" w:w="80"/>
            </w:tcMar>
          </w:tcPr>
          <w:p>
            <w:pPr>
              <w:spacing w:before="0" w:after="0"/>
            </w:pPr>
            <w:r>
              <w:rPr>
                <w:rFonts w:ascii="Arial" w:cs="Arial" w:eastAsia="Arial" w:hAnsi="Arial"/>
                <w:b/>
                <w:bCs/>
                <w:color w:val="1A7A8C"/>
                <w:sz w:val="20"/>
                <w:szCs w:val="20"/>
              </w:rPr>
              <w:t xml:space="preserve">Symptom threshold in men &lt;40 (Scovell, BJU Int. 2015)</w:t>
            </w:r>
          </w:p>
        </w:tc>
        <w:tc>
          <w:tcPr>
            <w:tcW w:type="dxa" w:w="6160"/>
            <w:tcBorders>
              <w:top w:val="single" w:color="BDC3C7" w:sz="1"/>
              <w:left w:val="single" w:color="BDC3C7" w:sz="1"/>
              <w:bottom w:val="single" w:color="BDC3C7" w:sz="1"/>
              <w:right w:val="single" w:color="BDC3C7" w:sz="1"/>
            </w:tcBorders>
            <w:shd w:fill="F4F6F8" w:val="clear"/>
            <w:tcMar>
              <w:top w:type="dxa" w:w="70"/>
              <w:left w:type="dxa" w:w="120"/>
              <w:bottom w:type="dxa" w:w="70"/>
              <w:right w:type="dxa" w:w="80"/>
            </w:tcMar>
          </w:tcPr>
          <w:p>
            <w:pPr>
              <w:spacing w:before="0" w:after="0"/>
            </w:pPr>
            <w:r>
              <w:rPr>
                <w:rFonts w:ascii="Arial" w:cs="Arial" w:eastAsia="Arial" w:hAnsi="Arial"/>
                <w:b w:val="false"/>
                <w:bCs w:val="false"/>
                <w:color w:val="1A1A2E"/>
                <w:sz w:val="20"/>
                <w:szCs w:val="20"/>
              </w:rPr>
              <w:t xml:space="preserve">In 352 men under age 40, hypogonadal symptoms increased significantly at testosterone of 400 ng/dL. The most predictive symptom was fatigue — not a sexual symptom — highlighting that younger men often present with non-sexual manifestations missed by older-population guidelines.</w:t>
            </w:r>
          </w:p>
        </w:tc>
      </w:tr>
      <w:tr>
        <w:tc>
          <w:tcPr>
            <w:tcW w:type="dxa" w:w="3200"/>
            <w:tcBorders>
              <w:top w:val="single" w:color="BDC3C7" w:sz="1"/>
              <w:left w:val="single" w:color="BDC3C7" w:sz="1"/>
              <w:bottom w:val="single" w:color="BDC3C7" w:sz="1"/>
              <w:right w:val="single" w:color="BDC3C7" w:sz="1"/>
            </w:tcBorders>
            <w:shd w:fill="FFFFFF" w:val="clear"/>
            <w:tcMar>
              <w:top w:type="dxa" w:w="70"/>
              <w:left w:type="dxa" w:w="120"/>
              <w:bottom w:type="dxa" w:w="70"/>
              <w:right w:type="dxa" w:w="80"/>
            </w:tcMar>
          </w:tcPr>
          <w:p>
            <w:pPr>
              <w:spacing w:before="0" w:after="0"/>
            </w:pPr>
            <w:r>
              <w:rPr>
                <w:rFonts w:ascii="Arial" w:cs="Arial" w:eastAsia="Arial" w:hAnsi="Arial"/>
                <w:b/>
                <w:bCs/>
                <w:color w:val="1A7A8C"/>
                <w:sz w:val="20"/>
                <w:szCs w:val="20"/>
              </w:rPr>
              <w:t xml:space="preserve">Symptom threshold in men &gt;40 (Ramasamy, 2014)</w:t>
            </w:r>
          </w:p>
        </w:tc>
        <w:tc>
          <w:tcPr>
            <w:tcW w:type="dxa" w:w="6160"/>
            <w:tcBorders>
              <w:top w:val="single" w:color="BDC3C7" w:sz="1"/>
              <w:left w:val="single" w:color="BDC3C7" w:sz="1"/>
              <w:bottom w:val="single" w:color="BDC3C7" w:sz="1"/>
              <w:right w:val="single" w:color="BDC3C7" w:sz="1"/>
            </w:tcBorders>
            <w:shd w:fill="FFFFFF" w:val="clear"/>
            <w:tcMar>
              <w:top w:type="dxa" w:w="70"/>
              <w:left w:type="dxa" w:w="120"/>
              <w:bottom w:type="dxa" w:w="70"/>
              <w:right w:type="dxa" w:w="80"/>
            </w:tcMar>
          </w:tcPr>
          <w:p>
            <w:pPr>
              <w:spacing w:before="0" w:after="0"/>
            </w:pPr>
            <w:r>
              <w:rPr>
                <w:rFonts w:ascii="Arial" w:cs="Arial" w:eastAsia="Arial" w:hAnsi="Arial"/>
                <w:b w:val="false"/>
                <w:bCs w:val="false"/>
                <w:color w:val="1A1A2E"/>
                <w:sz w:val="20"/>
                <w:szCs w:val="20"/>
              </w:rPr>
              <w:t xml:space="preserve">In 360 men over age 40, specific hypogonadal symptoms mapped to 320–375 ng/dL — well above 300 ng/dL. The authors recommended an individualised, symptom-specific approach rather than a single predefined cutoff.</w:t>
            </w:r>
          </w:p>
        </w:tc>
      </w:tr>
      <w:tr>
        <w:tc>
          <w:tcPr>
            <w:tcW w:type="dxa" w:w="3200"/>
            <w:tcBorders>
              <w:top w:val="single" w:color="BDC3C7" w:sz="1"/>
              <w:left w:val="single" w:color="BDC3C7" w:sz="1"/>
              <w:bottom w:val="single" w:color="BDC3C7" w:sz="1"/>
              <w:right w:val="single" w:color="BDC3C7" w:sz="1"/>
            </w:tcBorders>
            <w:shd w:fill="F4F6F8" w:val="clear"/>
            <w:tcMar>
              <w:top w:type="dxa" w:w="70"/>
              <w:left w:type="dxa" w:w="120"/>
              <w:bottom w:type="dxa" w:w="70"/>
              <w:right w:type="dxa" w:w="80"/>
            </w:tcMar>
          </w:tcPr>
          <w:p>
            <w:pPr>
              <w:spacing w:before="0" w:after="0"/>
            </w:pPr>
            <w:r>
              <w:rPr>
                <w:rFonts w:ascii="Arial" w:cs="Arial" w:eastAsia="Arial" w:hAnsi="Arial"/>
                <w:b/>
                <w:bCs/>
                <w:color w:val="1A7A8C"/>
                <w:sz w:val="20"/>
                <w:szCs w:val="20"/>
              </w:rPr>
              <w:t xml:space="preserve">Cardiovascular risk (Hao et al., J Sex Med. 2016)</w:t>
            </w:r>
          </w:p>
        </w:tc>
        <w:tc>
          <w:tcPr>
            <w:tcW w:type="dxa" w:w="6160"/>
            <w:tcBorders>
              <w:top w:val="single" w:color="BDC3C7" w:sz="1"/>
              <w:left w:val="single" w:color="BDC3C7" w:sz="1"/>
              <w:bottom w:val="single" w:color="BDC3C7" w:sz="1"/>
              <w:right w:val="single" w:color="BDC3C7" w:sz="1"/>
            </w:tcBorders>
            <w:shd w:fill="F4F6F8" w:val="clear"/>
            <w:tcMar>
              <w:top w:type="dxa" w:w="70"/>
              <w:left w:type="dxa" w:w="120"/>
              <w:bottom w:type="dxa" w:w="70"/>
              <w:right w:type="dxa" w:w="80"/>
            </w:tcMar>
          </w:tcPr>
          <w:p>
            <w:pPr>
              <w:spacing w:before="0" w:after="0"/>
            </w:pPr>
            <w:r>
              <w:rPr>
                <w:rFonts w:ascii="Arial" w:cs="Arial" w:eastAsia="Arial" w:hAnsi="Arial"/>
                <w:b w:val="false"/>
                <w:bCs w:val="false"/>
                <w:color w:val="1A1A2E"/>
                <w:sz w:val="20"/>
                <w:szCs w:val="20"/>
              </w:rPr>
              <w:t xml:space="preserve">Testosterone levels of 440–480 ng/dL were associated with increased Framingham CVD risk and elevated hsCRP in 876 middle-aged men, suggesting levels below 450 ng/dL may represent a clinically meaningful deficiency threshold even from a preventive standpoint.</w:t>
            </w:r>
          </w:p>
        </w:tc>
      </w:tr>
    </w:tbl>
    <w:p>
      <w:pPr>
        <w:spacing w:before="0" w:after="120"/>
      </w:pPr>
    </w:p>
    <w:tbl>
      <w:tblPr>
        <w:tblW w:type="dxa" w:w="9360"/>
        <w:tblBorders>
          <w:top w:val="none" w:color="FFFFFF" w:sz="0"/>
          <w:left w:val="single" w:color="1A7A8C"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AF4F8" w:val="clear"/>
            <w:tcMar>
              <w:top w:type="dxa" w:w="60"/>
              <w:left w:type="dxa" w:w="140"/>
              <w:bottom w:type="dxa" w:w="0"/>
              <w:right w:type="dxa" w:w="140"/>
            </w:tcMar>
          </w:tcPr>
          <w:p>
            <w:pPr>
              <w:spacing w:before="0" w:after="40"/>
            </w:pPr>
            <w:r>
              <w:rPr>
                <w:rFonts w:ascii="Arial" w:cs="Arial" w:eastAsia="Arial" w:hAnsi="Arial"/>
                <w:b/>
                <w:bCs/>
                <w:color w:val="1A7A8C"/>
                <w:sz w:val="20"/>
                <w:szCs w:val="20"/>
              </w:rPr>
              <w:t xml:space="preserve">What This Means for Your Assessment</w:t>
            </w:r>
          </w:p>
        </w:tc>
      </w:tr>
      <w:tr>
        <w:tc>
          <w:tcPr>
            <w:tcW w:type="dxa" w:w="9360"/>
            <w:tcBorders>
              <w:top w:val="none" w:color="FFFFFF" w:sz="0"/>
              <w:left w:val="none" w:color="FFFFFF" w:sz="0"/>
              <w:bottom w:val="none" w:color="FFFFFF" w:sz="0"/>
              <w:right w:val="none" w:color="FFFFFF" w:sz="0"/>
            </w:tcBorders>
            <w:shd w:fill="EAF4F8"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If your total testosterone is above 300 ng/dL but below 450 ng/dL and you have significant, persistent symptoms, your clinician may discuss an empirical trial based on this evidence. This is the application of current population norms, symptom science, and the AUA’s own therapeutic target range to your individual situation. However, total testosterone alone is only half the picture — see Section 2.4 for why calculated free testosterone must also be assessed.</w:t>
            </w:r>
          </w:p>
        </w:tc>
      </w:tr>
    </w:tbl>
    <w:p>
      <w:pPr>
        <w:spacing w:before="0" w:after="200"/>
      </w:pPr>
    </w:p>
    <w:p>
      <w:pPr>
        <w:pStyle w:val="Heading2"/>
        <w:spacing w:before="160" w:after="80"/>
      </w:pPr>
      <w:r>
        <w:rPr>
          <w:rFonts w:ascii="Arial" w:cs="Arial" w:eastAsia="Arial" w:hAnsi="Arial"/>
          <w:b/>
          <w:bCs/>
          <w:color w:val="1A7A8C"/>
          <w:sz w:val="24"/>
          <w:szCs w:val="24"/>
        </w:rPr>
        <w:t xml:space="preserve">2.4  Why Total Testosterone Alone Is Not Enough — SHBG and Calculated Free Testosterone</w:t>
      </w:r>
    </w:p>
    <w:p>
      <w:pPr>
        <w:spacing w:before="20" w:after="100"/>
      </w:pPr>
      <w:r>
        <w:rPr>
          <w:rFonts w:ascii="Arial" w:cs="Arial" w:eastAsia="Arial" w:hAnsi="Arial"/>
          <w:color w:val="1A1A2E"/>
          <w:sz w:val="22"/>
          <w:szCs w:val="22"/>
        </w:rPr>
        <w:t xml:space="preserve">Total testosterone measures all testosterone in the blood — but most of it is chemically bound and unavailable to your tissues. Sex hormone-binding globulin (SHBG) is a protein that tightly binds testosterone, making it biologically inactive. What matters clinically is the free and bioavailable fraction — the testosterone that can actually act on your cells.</w:t>
      </w:r>
    </w:p>
    <w:p>
      <w:pPr>
        <w:spacing w:before="0" w:after="100"/>
      </w:pPr>
    </w:p>
    <w:p>
      <w:pPr>
        <w:spacing w:before="20" w:after="100"/>
      </w:pPr>
      <w:r>
        <w:rPr>
          <w:rFonts w:ascii="Arial" w:cs="Arial" w:eastAsia="Arial" w:hAnsi="Arial"/>
          <w:color w:val="1A1A2E"/>
          <w:sz w:val="22"/>
          <w:szCs w:val="22"/>
        </w:rPr>
        <w:t xml:space="preserve">SHBG levels vary widely between individuals and are affected by age, body weight, thyroid function, medications, and genetics. Two men with identical total testosterone levels of 380 ng/dL can have completely different androgenic exposure depending on their SHBG:</w:t>
      </w:r>
    </w:p>
    <w:p>
      <w:pPr>
        <w:spacing w:before="0" w:after="80"/>
      </w:pPr>
    </w:p>
    <w:p>
      <w:pPr>
        <w:pStyle w:val="ListParagraph"/>
        <w:numPr>
          <w:ilvl w:val="0"/>
          <w:numId w:val="2"/>
        </w:numPr>
        <w:spacing w:before="20" w:after="60"/>
      </w:pPr>
      <w:r>
        <w:rPr>
          <w:rFonts w:ascii="Arial" w:cs="Arial" w:eastAsia="Arial" w:hAnsi="Arial"/>
          <w:color w:val="1A1A2E"/>
          <w:sz w:val="22"/>
          <w:szCs w:val="22"/>
        </w:rPr>
        <w:t xml:space="preserve">High SHBG: more testosterone is bound and inactive — the patient may be functionally androgen-deficient despite a ‘normal’ total testosterone reading</w:t>
      </w:r>
    </w:p>
    <w:p>
      <w:pPr>
        <w:pStyle w:val="ListParagraph"/>
        <w:numPr>
          <w:ilvl w:val="0"/>
          <w:numId w:val="2"/>
        </w:numPr>
        <w:spacing w:before="20" w:after="60"/>
      </w:pPr>
      <w:r>
        <w:rPr>
          <w:rFonts w:ascii="Arial" w:cs="Arial" w:eastAsia="Arial" w:hAnsi="Arial"/>
          <w:color w:val="1A1A2E"/>
          <w:sz w:val="22"/>
          <w:szCs w:val="22"/>
        </w:rPr>
        <w:t xml:space="preserve">Low SHBG: less testosterone is bound — the patient has more free testosterone available and may be fine despite a ‘low’ total testosterone reading</w:t>
      </w:r>
    </w:p>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00"/>
        <w:gridCol w:w="1700"/>
        <w:gridCol w:w="1900"/>
        <w:gridCol w:w="3860"/>
      </w:tblGrid>
      <w:tr>
        <w:tc>
          <w:tcPr>
            <w:tcW w:type="dxa" w:w="190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pPr>
            <w:r>
              <w:rPr>
                <w:rFonts w:ascii="Arial" w:cs="Arial" w:eastAsia="Arial" w:hAnsi="Arial"/>
                <w:b/>
                <w:bCs/>
                <w:color w:val="FFFFFF"/>
                <w:sz w:val="19"/>
                <w:szCs w:val="19"/>
              </w:rPr>
              <w:t xml:space="preserve">SHBG Status</w:t>
            </w:r>
          </w:p>
        </w:tc>
        <w:tc>
          <w:tcPr>
            <w:tcW w:type="dxa" w:w="170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pPr>
            <w:r>
              <w:rPr>
                <w:rFonts w:ascii="Arial" w:cs="Arial" w:eastAsia="Arial" w:hAnsi="Arial"/>
                <w:b/>
                <w:bCs/>
                <w:color w:val="FFFFFF"/>
                <w:sz w:val="19"/>
                <w:szCs w:val="19"/>
              </w:rPr>
              <w:t xml:space="preserve">Total Testosterone</w:t>
            </w:r>
          </w:p>
        </w:tc>
        <w:tc>
          <w:tcPr>
            <w:tcW w:type="dxa" w:w="190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pPr>
            <w:r>
              <w:rPr>
                <w:rFonts w:ascii="Arial" w:cs="Arial" w:eastAsia="Arial" w:hAnsi="Arial"/>
                <w:b/>
                <w:bCs/>
                <w:color w:val="FFFFFF"/>
                <w:sz w:val="19"/>
                <w:szCs w:val="19"/>
              </w:rPr>
              <w:t xml:space="preserve">Calculated Free T</w:t>
            </w:r>
          </w:p>
        </w:tc>
        <w:tc>
          <w:tcPr>
            <w:tcW w:type="dxa" w:w="386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pPr>
            <w:r>
              <w:rPr>
                <w:rFonts w:ascii="Arial" w:cs="Arial" w:eastAsia="Arial" w:hAnsi="Arial"/>
                <w:b/>
                <w:bCs/>
                <w:color w:val="FFFFFF"/>
                <w:sz w:val="19"/>
                <w:szCs w:val="19"/>
              </w:rPr>
              <w:t xml:space="preserve">Clinical Implication</w:t>
            </w:r>
          </w:p>
        </w:tc>
      </w:tr>
      <w:tr>
        <w:tc>
          <w:tcPr>
            <w:tcW w:type="dxa" w:w="1900"/>
            <w:tcBorders>
              <w:top w:val="single" w:color="BDC3C7" w:sz="1"/>
              <w:left w:val="single" w:color="BDC3C7" w:sz="1"/>
              <w:bottom w:val="single" w:color="BDC3C7" w:sz="1"/>
              <w:right w:val="single" w:color="BDC3C7" w:sz="1"/>
            </w:tcBorders>
            <w:shd w:fill="FFFFFF" w:val="clear"/>
            <w:tcMar>
              <w:top w:type="dxa" w:w="70"/>
              <w:left w:type="dxa" w:w="100"/>
              <w:bottom w:type="dxa" w:w="70"/>
              <w:right w:type="dxa" w:w="80"/>
            </w:tcMar>
          </w:tcPr>
          <w:p>
            <w:pPr>
              <w:spacing w:before="0" w:after="0"/>
            </w:pPr>
            <w:r>
              <w:rPr>
                <w:rFonts w:ascii="Arial" w:cs="Arial" w:eastAsia="Arial" w:hAnsi="Arial"/>
                <w:b/>
                <w:bCs/>
                <w:color w:val="1A7A8C"/>
                <w:sz w:val="19"/>
                <w:szCs w:val="19"/>
              </w:rPr>
              <w:t xml:space="preserve">Elevated SHBG
(aging, thyroid, some meds)</w:t>
            </w:r>
          </w:p>
        </w:tc>
        <w:tc>
          <w:tcPr>
            <w:tcW w:type="dxa" w:w="1700"/>
            <w:tcBorders>
              <w:top w:val="single" w:color="BDC3C7" w:sz="1"/>
              <w:left w:val="single" w:color="BDC3C7" w:sz="1"/>
              <w:bottom w:val="single" w:color="BDC3C7" w:sz="1"/>
              <w:right w:val="single" w:color="BDC3C7" w:sz="1"/>
            </w:tcBorders>
            <w:shd w:fill="FFFFFF" w:val="clear"/>
            <w:tcMar>
              <w:top w:type="dxa" w:w="70"/>
              <w:left w:type="dxa" w:w="100"/>
              <w:bottom w:type="dxa" w:w="70"/>
              <w:right w:type="dxa" w:w="80"/>
            </w:tcMar>
          </w:tcPr>
          <w:p>
            <w:pPr>
              <w:spacing w:before="0" w:after="0"/>
            </w:pPr>
            <w:r>
              <w:rPr>
                <w:rFonts w:ascii="Arial" w:cs="Arial" w:eastAsia="Arial" w:hAnsi="Arial"/>
                <w:b w:val="false"/>
                <w:bCs w:val="false"/>
                <w:color w:val="1A1A2E"/>
                <w:sz w:val="19"/>
                <w:szCs w:val="19"/>
              </w:rPr>
              <w:t xml:space="preserve">Normal or borderline TT (300–500 ng/dL)</w:t>
            </w:r>
          </w:p>
        </w:tc>
        <w:tc>
          <w:tcPr>
            <w:tcW w:type="dxa" w:w="1900"/>
            <w:tcBorders>
              <w:top w:val="single" w:color="BDC3C7" w:sz="1"/>
              <w:left w:val="single" w:color="BDC3C7" w:sz="1"/>
              <w:bottom w:val="single" w:color="BDC3C7" w:sz="1"/>
              <w:right w:val="single" w:color="BDC3C7" w:sz="1"/>
            </w:tcBorders>
            <w:shd w:fill="FFFFFF" w:val="clear"/>
            <w:tcMar>
              <w:top w:type="dxa" w:w="70"/>
              <w:left w:type="dxa" w:w="100"/>
              <w:bottom w:type="dxa" w:w="70"/>
              <w:right w:type="dxa" w:w="80"/>
            </w:tcMar>
          </w:tcPr>
          <w:p>
            <w:pPr>
              <w:spacing w:before="0" w:after="0"/>
            </w:pPr>
            <w:r>
              <w:rPr>
                <w:rFonts w:ascii="Arial" w:cs="Arial" w:eastAsia="Arial" w:hAnsi="Arial"/>
                <w:b w:val="false"/>
                <w:bCs w:val="false"/>
                <w:color w:val="1A1A2E"/>
                <w:sz w:val="19"/>
                <w:szCs w:val="19"/>
              </w:rPr>
              <w:t xml:space="preserve">Low cFT — true deficiency masked by TT</w:t>
            </w:r>
          </w:p>
        </w:tc>
        <w:tc>
          <w:tcPr>
            <w:tcW w:type="dxa" w:w="3860"/>
            <w:tcBorders>
              <w:top w:val="single" w:color="BDC3C7" w:sz="1"/>
              <w:left w:val="single" w:color="BDC3C7" w:sz="1"/>
              <w:bottom w:val="single" w:color="BDC3C7" w:sz="1"/>
              <w:right w:val="single" w:color="BDC3C7" w:sz="1"/>
            </w:tcBorders>
            <w:shd w:fill="FFFFFF" w:val="clear"/>
            <w:tcMar>
              <w:top w:type="dxa" w:w="70"/>
              <w:left w:type="dxa" w:w="100"/>
              <w:bottom w:type="dxa" w:w="70"/>
              <w:right w:type="dxa" w:w="80"/>
            </w:tcMar>
          </w:tcPr>
          <w:p>
            <w:pPr>
              <w:spacing w:before="0" w:after="0"/>
            </w:pPr>
            <w:r>
              <w:rPr>
                <w:rFonts w:ascii="Arial" w:cs="Arial" w:eastAsia="Arial" w:hAnsi="Arial"/>
                <w:b w:val="false"/>
                <w:bCs w:val="false"/>
                <w:color w:val="1A1A2E"/>
                <w:sz w:val="19"/>
                <w:szCs w:val="19"/>
              </w:rPr>
              <w:t xml:space="preserve">Patient is symptomatic despite a ‘normal’ total testosterone. cFT unmasks real deficiency — supports treatment.</w:t>
            </w:r>
          </w:p>
        </w:tc>
      </w:tr>
      <w:tr>
        <w:tc>
          <w:tcPr>
            <w:tcW w:type="dxa" w:w="1900"/>
            <w:tcBorders>
              <w:top w:val="single" w:color="BDC3C7" w:sz="1"/>
              <w:left w:val="single" w:color="BDC3C7" w:sz="1"/>
              <w:bottom w:val="single" w:color="BDC3C7" w:sz="1"/>
              <w:right w:val="single" w:color="BDC3C7" w:sz="1"/>
            </w:tcBorders>
            <w:shd w:fill="F4F6F8" w:val="clear"/>
            <w:tcMar>
              <w:top w:type="dxa" w:w="70"/>
              <w:left w:type="dxa" w:w="100"/>
              <w:bottom w:type="dxa" w:w="70"/>
              <w:right w:type="dxa" w:w="80"/>
            </w:tcMar>
          </w:tcPr>
          <w:p>
            <w:pPr>
              <w:spacing w:before="0" w:after="0"/>
            </w:pPr>
            <w:r>
              <w:rPr>
                <w:rFonts w:ascii="Arial" w:cs="Arial" w:eastAsia="Arial" w:hAnsi="Arial"/>
                <w:b/>
                <w:bCs/>
                <w:color w:val="1A7A8C"/>
                <w:sz w:val="19"/>
                <w:szCs w:val="19"/>
              </w:rPr>
              <w:t xml:space="preserve">Low SHBG
(obesity, diabetes, genetic)</w:t>
            </w:r>
          </w:p>
        </w:tc>
        <w:tc>
          <w:tcPr>
            <w:tcW w:type="dxa" w:w="1700"/>
            <w:tcBorders>
              <w:top w:val="single" w:color="BDC3C7" w:sz="1"/>
              <w:left w:val="single" w:color="BDC3C7" w:sz="1"/>
              <w:bottom w:val="single" w:color="BDC3C7" w:sz="1"/>
              <w:right w:val="single" w:color="BDC3C7" w:sz="1"/>
            </w:tcBorders>
            <w:shd w:fill="F4F6F8" w:val="clear"/>
            <w:tcMar>
              <w:top w:type="dxa" w:w="70"/>
              <w:left w:type="dxa" w:w="100"/>
              <w:bottom w:type="dxa" w:w="70"/>
              <w:right w:type="dxa" w:w="80"/>
            </w:tcMar>
          </w:tcPr>
          <w:p>
            <w:pPr>
              <w:spacing w:before="0" w:after="0"/>
            </w:pPr>
            <w:r>
              <w:rPr>
                <w:rFonts w:ascii="Arial" w:cs="Arial" w:eastAsia="Arial" w:hAnsi="Arial"/>
                <w:b w:val="false"/>
                <w:bCs w:val="false"/>
                <w:color w:val="1A1A2E"/>
                <w:sz w:val="19"/>
                <w:szCs w:val="19"/>
              </w:rPr>
              <w:t xml:space="preserve">Low TT (&lt;300 ng/dL)</w:t>
            </w:r>
          </w:p>
        </w:tc>
        <w:tc>
          <w:tcPr>
            <w:tcW w:type="dxa" w:w="1900"/>
            <w:tcBorders>
              <w:top w:val="single" w:color="BDC3C7" w:sz="1"/>
              <w:left w:val="single" w:color="BDC3C7" w:sz="1"/>
              <w:bottom w:val="single" w:color="BDC3C7" w:sz="1"/>
              <w:right w:val="single" w:color="BDC3C7" w:sz="1"/>
            </w:tcBorders>
            <w:shd w:fill="F4F6F8" w:val="clear"/>
            <w:tcMar>
              <w:top w:type="dxa" w:w="70"/>
              <w:left w:type="dxa" w:w="100"/>
              <w:bottom w:type="dxa" w:w="70"/>
              <w:right w:type="dxa" w:w="80"/>
            </w:tcMar>
          </w:tcPr>
          <w:p>
            <w:pPr>
              <w:spacing w:before="0" w:after="0"/>
            </w:pPr>
            <w:r>
              <w:rPr>
                <w:rFonts w:ascii="Arial" w:cs="Arial" w:eastAsia="Arial" w:hAnsi="Arial"/>
                <w:b w:val="false"/>
                <w:bCs w:val="false"/>
                <w:color w:val="1A1A2E"/>
                <w:sz w:val="19"/>
                <w:szCs w:val="19"/>
              </w:rPr>
              <w:t xml:space="preserve">Normal cFT — TT low but bioavailable T preserved</w:t>
            </w:r>
          </w:p>
        </w:tc>
        <w:tc>
          <w:tcPr>
            <w:tcW w:type="dxa" w:w="3860"/>
            <w:tcBorders>
              <w:top w:val="single" w:color="BDC3C7" w:sz="1"/>
              <w:left w:val="single" w:color="BDC3C7" w:sz="1"/>
              <w:bottom w:val="single" w:color="BDC3C7" w:sz="1"/>
              <w:right w:val="single" w:color="BDC3C7" w:sz="1"/>
            </w:tcBorders>
            <w:shd w:fill="F4F6F8" w:val="clear"/>
            <w:tcMar>
              <w:top w:type="dxa" w:w="70"/>
              <w:left w:type="dxa" w:w="100"/>
              <w:bottom w:type="dxa" w:w="70"/>
              <w:right w:type="dxa" w:w="80"/>
            </w:tcMar>
          </w:tcPr>
          <w:p>
            <w:pPr>
              <w:spacing w:before="0" w:after="0"/>
            </w:pPr>
            <w:r>
              <w:rPr>
                <w:rFonts w:ascii="Arial" w:cs="Arial" w:eastAsia="Arial" w:hAnsi="Arial"/>
                <w:b w:val="false"/>
                <w:bCs w:val="false"/>
                <w:color w:val="1A1A2E"/>
                <w:sz w:val="19"/>
                <w:szCs w:val="19"/>
              </w:rPr>
              <w:t xml:space="preserve">Patient is asymptomatic despite a ‘low’ total testosterone. cFT prevents unnecessary treatment.</w:t>
            </w:r>
          </w:p>
        </w:tc>
      </w:tr>
      <w:tr>
        <w:tc>
          <w:tcPr>
            <w:tcW w:type="dxa" w:w="1900"/>
            <w:tcBorders>
              <w:top w:val="single" w:color="BDC3C7" w:sz="1"/>
              <w:left w:val="single" w:color="BDC3C7" w:sz="1"/>
              <w:bottom w:val="single" w:color="BDC3C7" w:sz="1"/>
              <w:right w:val="single" w:color="BDC3C7" w:sz="1"/>
            </w:tcBorders>
            <w:shd w:fill="FFFFFF" w:val="clear"/>
            <w:tcMar>
              <w:top w:type="dxa" w:w="70"/>
              <w:left w:type="dxa" w:w="100"/>
              <w:bottom w:type="dxa" w:w="70"/>
              <w:right w:type="dxa" w:w="80"/>
            </w:tcMar>
          </w:tcPr>
          <w:p>
            <w:pPr>
              <w:spacing w:before="0" w:after="0"/>
            </w:pPr>
            <w:r>
              <w:rPr>
                <w:rFonts w:ascii="Arial" w:cs="Arial" w:eastAsia="Arial" w:hAnsi="Arial"/>
                <w:b/>
                <w:bCs/>
                <w:color w:val="1A7A8C"/>
                <w:sz w:val="19"/>
                <w:szCs w:val="19"/>
              </w:rPr>
              <w:t xml:space="preserve">Normal SHBG</w:t>
            </w:r>
          </w:p>
        </w:tc>
        <w:tc>
          <w:tcPr>
            <w:tcW w:type="dxa" w:w="1700"/>
            <w:tcBorders>
              <w:top w:val="single" w:color="BDC3C7" w:sz="1"/>
              <w:left w:val="single" w:color="BDC3C7" w:sz="1"/>
              <w:bottom w:val="single" w:color="BDC3C7" w:sz="1"/>
              <w:right w:val="single" w:color="BDC3C7" w:sz="1"/>
            </w:tcBorders>
            <w:shd w:fill="FFFFFF" w:val="clear"/>
            <w:tcMar>
              <w:top w:type="dxa" w:w="70"/>
              <w:left w:type="dxa" w:w="100"/>
              <w:bottom w:type="dxa" w:w="70"/>
              <w:right w:type="dxa" w:w="80"/>
            </w:tcMar>
          </w:tcPr>
          <w:p>
            <w:pPr>
              <w:spacing w:before="0" w:after="0"/>
            </w:pPr>
            <w:r>
              <w:rPr>
                <w:rFonts w:ascii="Arial" w:cs="Arial" w:eastAsia="Arial" w:hAnsi="Arial"/>
                <w:b w:val="false"/>
                <w:bCs w:val="false"/>
                <w:color w:val="1A1A2E"/>
                <w:sz w:val="19"/>
                <w:szCs w:val="19"/>
              </w:rPr>
              <w:t xml:space="preserve">Low TT (&lt;300–450 ng/dL)</w:t>
            </w:r>
          </w:p>
        </w:tc>
        <w:tc>
          <w:tcPr>
            <w:tcW w:type="dxa" w:w="1900"/>
            <w:tcBorders>
              <w:top w:val="single" w:color="BDC3C7" w:sz="1"/>
              <w:left w:val="single" w:color="BDC3C7" w:sz="1"/>
              <w:bottom w:val="single" w:color="BDC3C7" w:sz="1"/>
              <w:right w:val="single" w:color="BDC3C7" w:sz="1"/>
            </w:tcBorders>
            <w:shd w:fill="FFFFFF" w:val="clear"/>
            <w:tcMar>
              <w:top w:type="dxa" w:w="70"/>
              <w:left w:type="dxa" w:w="100"/>
              <w:bottom w:type="dxa" w:w="70"/>
              <w:right w:type="dxa" w:w="80"/>
            </w:tcMar>
          </w:tcPr>
          <w:p>
            <w:pPr>
              <w:spacing w:before="0" w:after="0"/>
            </w:pPr>
            <w:r>
              <w:rPr>
                <w:rFonts w:ascii="Arial" w:cs="Arial" w:eastAsia="Arial" w:hAnsi="Arial"/>
                <w:b w:val="false"/>
                <w:bCs w:val="false"/>
                <w:color w:val="1A1A2E"/>
                <w:sz w:val="19"/>
                <w:szCs w:val="19"/>
              </w:rPr>
              <w:t xml:space="preserve">Low cFT (&lt;8.5 ng/dL)</w:t>
            </w:r>
          </w:p>
        </w:tc>
        <w:tc>
          <w:tcPr>
            <w:tcW w:type="dxa" w:w="3860"/>
            <w:tcBorders>
              <w:top w:val="single" w:color="BDC3C7" w:sz="1"/>
              <w:left w:val="single" w:color="BDC3C7" w:sz="1"/>
              <w:bottom w:val="single" w:color="BDC3C7" w:sz="1"/>
              <w:right w:val="single" w:color="BDC3C7" w:sz="1"/>
            </w:tcBorders>
            <w:shd w:fill="FFFFFF" w:val="clear"/>
            <w:tcMar>
              <w:top w:type="dxa" w:w="70"/>
              <w:left w:type="dxa" w:w="100"/>
              <w:bottom w:type="dxa" w:w="70"/>
              <w:right w:type="dxa" w:w="80"/>
            </w:tcMar>
          </w:tcPr>
          <w:p>
            <w:pPr>
              <w:spacing w:before="0" w:after="0"/>
            </w:pPr>
            <w:r>
              <w:rPr>
                <w:rFonts w:ascii="Arial" w:cs="Arial" w:eastAsia="Arial" w:hAnsi="Arial"/>
                <w:b w:val="false"/>
                <w:bCs w:val="false"/>
                <w:color w:val="1A1A2E"/>
                <w:sz w:val="19"/>
                <w:szCs w:val="19"/>
              </w:rPr>
              <w:t xml:space="preserve">Both measures align — diagnosis well-supported.</w:t>
            </w:r>
          </w:p>
        </w:tc>
      </w:tr>
      <w:tr>
        <w:tc>
          <w:tcPr>
            <w:tcW w:type="dxa" w:w="1900"/>
            <w:tcBorders>
              <w:top w:val="single" w:color="BDC3C7" w:sz="1"/>
              <w:left w:val="single" w:color="BDC3C7" w:sz="1"/>
              <w:bottom w:val="single" w:color="BDC3C7" w:sz="1"/>
              <w:right w:val="single" w:color="BDC3C7" w:sz="1"/>
            </w:tcBorders>
            <w:shd w:fill="F4F6F8" w:val="clear"/>
            <w:tcMar>
              <w:top w:type="dxa" w:w="70"/>
              <w:left w:type="dxa" w:w="100"/>
              <w:bottom w:type="dxa" w:w="70"/>
              <w:right w:type="dxa" w:w="80"/>
            </w:tcMar>
          </w:tcPr>
          <w:p>
            <w:pPr>
              <w:spacing w:before="0" w:after="0"/>
            </w:pPr>
            <w:r>
              <w:rPr>
                <w:rFonts w:ascii="Arial" w:cs="Arial" w:eastAsia="Arial" w:hAnsi="Arial"/>
                <w:b/>
                <w:bCs/>
                <w:color w:val="1A7A8C"/>
                <w:sz w:val="19"/>
                <w:szCs w:val="19"/>
              </w:rPr>
              <w:t xml:space="preserve">Normal SHBG</w:t>
            </w:r>
          </w:p>
        </w:tc>
        <w:tc>
          <w:tcPr>
            <w:tcW w:type="dxa" w:w="1700"/>
            <w:tcBorders>
              <w:top w:val="single" w:color="BDC3C7" w:sz="1"/>
              <w:left w:val="single" w:color="BDC3C7" w:sz="1"/>
              <w:bottom w:val="single" w:color="BDC3C7" w:sz="1"/>
              <w:right w:val="single" w:color="BDC3C7" w:sz="1"/>
            </w:tcBorders>
            <w:shd w:fill="F4F6F8" w:val="clear"/>
            <w:tcMar>
              <w:top w:type="dxa" w:w="70"/>
              <w:left w:type="dxa" w:w="100"/>
              <w:bottom w:type="dxa" w:w="70"/>
              <w:right w:type="dxa" w:w="80"/>
            </w:tcMar>
          </w:tcPr>
          <w:p>
            <w:pPr>
              <w:spacing w:before="0" w:after="0"/>
            </w:pPr>
            <w:r>
              <w:rPr>
                <w:rFonts w:ascii="Arial" w:cs="Arial" w:eastAsia="Arial" w:hAnsi="Arial"/>
                <w:b w:val="false"/>
                <w:bCs w:val="false"/>
                <w:color w:val="1A1A2E"/>
                <w:sz w:val="19"/>
                <w:szCs w:val="19"/>
              </w:rPr>
              <w:t xml:space="preserve">Borderline TT (300–450 ng/dL)</w:t>
            </w:r>
          </w:p>
        </w:tc>
        <w:tc>
          <w:tcPr>
            <w:tcW w:type="dxa" w:w="1900"/>
            <w:tcBorders>
              <w:top w:val="single" w:color="BDC3C7" w:sz="1"/>
              <w:left w:val="single" w:color="BDC3C7" w:sz="1"/>
              <w:bottom w:val="single" w:color="BDC3C7" w:sz="1"/>
              <w:right w:val="single" w:color="BDC3C7" w:sz="1"/>
            </w:tcBorders>
            <w:shd w:fill="F4F6F8" w:val="clear"/>
            <w:tcMar>
              <w:top w:type="dxa" w:w="70"/>
              <w:left w:type="dxa" w:w="100"/>
              <w:bottom w:type="dxa" w:w="70"/>
              <w:right w:type="dxa" w:w="80"/>
            </w:tcMar>
          </w:tcPr>
          <w:p>
            <w:pPr>
              <w:spacing w:before="0" w:after="0"/>
            </w:pPr>
            <w:r>
              <w:rPr>
                <w:rFonts w:ascii="Arial" w:cs="Arial" w:eastAsia="Arial" w:hAnsi="Arial"/>
                <w:b w:val="false"/>
                <w:bCs w:val="false"/>
                <w:color w:val="1A1A2E"/>
                <w:sz w:val="19"/>
                <w:szCs w:val="19"/>
              </w:rPr>
              <w:t xml:space="preserve">Low-normal cFT (8.5–10 ng/dL)</w:t>
            </w:r>
          </w:p>
        </w:tc>
        <w:tc>
          <w:tcPr>
            <w:tcW w:type="dxa" w:w="3860"/>
            <w:tcBorders>
              <w:top w:val="single" w:color="BDC3C7" w:sz="1"/>
              <w:left w:val="single" w:color="BDC3C7" w:sz="1"/>
              <w:bottom w:val="single" w:color="BDC3C7" w:sz="1"/>
              <w:right w:val="single" w:color="BDC3C7" w:sz="1"/>
            </w:tcBorders>
            <w:shd w:fill="F4F6F8" w:val="clear"/>
            <w:tcMar>
              <w:top w:type="dxa" w:w="70"/>
              <w:left w:type="dxa" w:w="100"/>
              <w:bottom w:type="dxa" w:w="70"/>
              <w:right w:type="dxa" w:w="80"/>
            </w:tcMar>
          </w:tcPr>
          <w:p>
            <w:pPr>
              <w:spacing w:before="0" w:after="0"/>
            </w:pPr>
            <w:r>
              <w:rPr>
                <w:rFonts w:ascii="Arial" w:cs="Arial" w:eastAsia="Arial" w:hAnsi="Arial"/>
                <w:b w:val="false"/>
                <w:bCs w:val="false"/>
                <w:color w:val="1A1A2E"/>
                <w:sz w:val="19"/>
                <w:szCs w:val="19"/>
              </w:rPr>
              <w:t xml:space="preserve">Grey zone — symptoms determine next step; empirical trial may be appropriate.</w:t>
            </w:r>
          </w:p>
        </w:tc>
      </w:tr>
    </w:tbl>
    <w:p>
      <w:pPr>
        <w:spacing w:before="0" w:after="160"/>
      </w:pPr>
    </w:p>
    <w:tbl>
      <w:tblPr>
        <w:tblW w:type="dxa" w:w="9360"/>
        <w:tblBorders>
          <w:top w:val="none" w:color="FFFFFF" w:sz="0"/>
          <w:left w:val="single" w:color="1A7A8C"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AF4F8" w:val="clear"/>
            <w:tcMar>
              <w:top w:type="dxa" w:w="60"/>
              <w:left w:type="dxa" w:w="140"/>
              <w:bottom w:type="dxa" w:w="0"/>
              <w:right w:type="dxa" w:w="140"/>
            </w:tcMar>
          </w:tcPr>
          <w:p>
            <w:pPr>
              <w:spacing w:before="0" w:after="40"/>
            </w:pPr>
            <w:r>
              <w:rPr>
                <w:rFonts w:ascii="Arial" w:cs="Arial" w:eastAsia="Arial" w:hAnsi="Arial"/>
                <w:b/>
                <w:bCs/>
                <w:color w:val="1A7A8C"/>
                <w:sz w:val="20"/>
                <w:szCs w:val="20"/>
              </w:rPr>
              <w:t xml:space="preserve">A Real-World Case Illustrating Both Directions (JCEM Case Reports, 2025)</w:t>
            </w:r>
          </w:p>
        </w:tc>
      </w:tr>
      <w:tr>
        <w:tc>
          <w:tcPr>
            <w:tcW w:type="dxa" w:w="9360"/>
            <w:tcBorders>
              <w:top w:val="none" w:color="FFFFFF" w:sz="0"/>
              <w:left w:val="none" w:color="FFFFFF" w:sz="0"/>
              <w:bottom w:val="none" w:color="FFFFFF" w:sz="0"/>
              <w:right w:val="none" w:color="FFFFFF" w:sz="0"/>
            </w:tcBorders>
            <w:shd w:fill="EAF4F8"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A 50-year-old man presented with a total testosterone of 147 ng/dL — a level that triggers automatic diagnosis and treatment by every major guideline. However, a genetic mutation caused his SHBG to be nearly absent (2 nmol/L vs. normal 14–72 nmol/L). His calculated free testosterone was completely normal at 5.0–6.95 ng/dL. He was entirely asymptomatic. Treating this patient based on total testosterone alone would have been an unnecessary intervention. The opposite scenario is equally important: a patient with high SHBG and a total testosterone of 420 ng/dL may have a calculated free testosterone of 7.2 ng/dL — below the threshold for meaningful androgenic activity — while appearing ‘normal’ by total testosterone alone.</w:t>
            </w:r>
          </w:p>
        </w:tc>
      </w:tr>
    </w:tbl>
    <w:p>
      <w:pPr>
        <w:spacing w:before="0" w:after="160"/>
      </w:pPr>
    </w:p>
    <w:p>
      <w:pPr>
        <w:pStyle w:val="Heading3"/>
        <w:spacing w:before="120" w:after="60"/>
      </w:pPr>
      <w:r>
        <w:rPr>
          <w:rFonts w:ascii="Arial" w:cs="Arial" w:eastAsia="Arial" w:hAnsi="Arial"/>
          <w:b/>
          <w:bCs/>
          <w:color w:val="1B3A6B"/>
          <w:sz w:val="22"/>
          <w:szCs w:val="22"/>
        </w:rPr>
        <w:t xml:space="preserve">How Calculated Free Testosterone Is Determined</w:t>
      </w:r>
    </w:p>
    <w:p>
      <w:pPr>
        <w:spacing w:before="20" w:after="100"/>
      </w:pPr>
      <w:r>
        <w:rPr>
          <w:rFonts w:ascii="Arial" w:cs="Arial" w:eastAsia="Arial" w:hAnsi="Arial"/>
          <w:color w:val="1A1A2E"/>
          <w:sz w:val="22"/>
          <w:szCs w:val="22"/>
        </w:rPr>
        <w:t xml:space="preserve">Free testosterone should be calculated using the Vermeulen formula — a validated mathematical model using total testosterone, SHBG, and albumin. Direct immunoassay measurement of free testosterone is known to be unreliable and is not recommended. If albumin is not separately measured, a standard default value of 4.3 g/dL is assumed, which is clinically appropriate for most outpatients.</w:t>
      </w:r>
    </w:p>
    <w:p>
      <w:pPr>
        <w:spacing w:before="0" w:after="100"/>
      </w:pPr>
    </w:p>
    <w:p>
      <w:pPr>
        <w:spacing w:before="20" w:after="100"/>
      </w:pPr>
      <w:r>
        <w:rPr>
          <w:rFonts w:ascii="Arial" w:cs="Arial" w:eastAsia="Arial" w:hAnsi="Arial"/>
          <w:color w:val="1A1A2E"/>
          <w:sz w:val="22"/>
          <w:szCs w:val="22"/>
        </w:rPr>
        <w:t xml:space="preserve">Revive includes SHBG in the standard first-visit 51-analyte lab panel, enabling calculated free testosterone to be assessed at your very first evaluation.</w:t>
      </w:r>
    </w:p>
    <w:p>
      <w:pPr>
        <w:spacing w:before="0" w:after="160"/>
      </w:pPr>
    </w:p>
    <w:p>
      <w:pPr>
        <w:pStyle w:val="Heading3"/>
        <w:spacing w:before="120" w:after="60"/>
      </w:pPr>
      <w:r>
        <w:rPr>
          <w:rFonts w:ascii="Arial" w:cs="Arial" w:eastAsia="Arial" w:hAnsi="Arial"/>
          <w:b/>
          <w:bCs/>
          <w:color w:val="1B3A6B"/>
          <w:sz w:val="22"/>
          <w:szCs w:val="22"/>
        </w:rPr>
        <w:t xml:space="preserve">The 8.5 ng/dL Calculated Free Testosterone Threshold</w:t>
      </w:r>
    </w:p>
    <w:p>
      <w:pPr>
        <w:spacing w:before="20" w:after="100"/>
      </w:pPr>
      <w:r>
        <w:rPr>
          <w:rFonts w:ascii="Arial" w:cs="Arial" w:eastAsia="Arial" w:hAnsi="Arial"/>
          <w:color w:val="1A1A2E"/>
          <w:sz w:val="22"/>
          <w:szCs w:val="22"/>
        </w:rPr>
        <w:t xml:space="preserve">Revive’s clinical position identifies a calculated free testosterone of 8.5 ng/dL (85 pg/mL / ∲95 pmol/L) as a defensible threshold for considering an empirical trial in symptomatic patients where SHBG may be increased or elevated. This threshold is supported by:</w:t>
      </w:r>
    </w:p>
    <w:p>
      <w:pPr>
        <w:spacing w:before="0" w:after="80"/>
      </w:pPr>
    </w:p>
    <w:p>
      <w:pPr>
        <w:pStyle w:val="ListParagraph"/>
        <w:numPr>
          <w:ilvl w:val="0"/>
          <w:numId w:val="2"/>
        </w:numPr>
        <w:spacing w:before="20" w:after="60"/>
      </w:pPr>
      <w:r>
        <w:rPr>
          <w:rFonts w:ascii="Arial" w:cs="Arial" w:eastAsia="Arial" w:hAnsi="Arial"/>
          <w:color w:val="1A1A2E"/>
          <w:sz w:val="22"/>
          <w:szCs w:val="22"/>
        </w:rPr>
        <w:t xml:space="preserve">It exceeds the definitively deficient zone recognised by EAU/BSSM/SIAMS guidelines (6.3–6.5 ng/dL), avoiding over-diagnosis</w:t>
      </w:r>
    </w:p>
    <w:p>
      <w:pPr>
        <w:pStyle w:val="ListParagraph"/>
        <w:numPr>
          <w:ilvl w:val="0"/>
          <w:numId w:val="2"/>
        </w:numPr>
        <w:spacing w:before="20" w:after="60"/>
      </w:pPr>
      <w:r>
        <w:rPr>
          <w:rFonts w:ascii="Arial" w:cs="Arial" w:eastAsia="Arial" w:hAnsi="Arial"/>
          <w:color w:val="1A1A2E"/>
          <w:sz w:val="22"/>
          <w:szCs w:val="22"/>
        </w:rPr>
        <w:t xml:space="preserve">It falls above the established symptom-worsening threshold of 7.7 ng/dL (Liu et al., 2017), supporting intervention before clear symptomatic decline</w:t>
      </w:r>
    </w:p>
    <w:p>
      <w:pPr>
        <w:pStyle w:val="ListParagraph"/>
        <w:numPr>
          <w:ilvl w:val="0"/>
          <w:numId w:val="2"/>
        </w:numPr>
        <w:spacing w:before="20" w:after="60"/>
      </w:pPr>
      <w:r>
        <w:rPr>
          <w:rFonts w:ascii="Arial" w:cs="Arial" w:eastAsia="Arial" w:hAnsi="Arial"/>
          <w:color w:val="1A1A2E"/>
          <w:sz w:val="22"/>
          <w:szCs w:val="22"/>
        </w:rPr>
        <w:t xml:space="preserve">It is well below the median of healthy adult men (13.4 ng/dL) and below the lower limit of normal for men aged 19–39 (12.0 ng/dL; Jasuja et al., Andrology 2023)</w:t>
      </w:r>
    </w:p>
    <w:p>
      <w:pPr>
        <w:pStyle w:val="ListParagraph"/>
        <w:numPr>
          <w:ilvl w:val="0"/>
          <w:numId w:val="2"/>
        </w:numPr>
        <w:spacing w:before="20" w:after="60"/>
      </w:pPr>
      <w:r>
        <w:rPr>
          <w:rFonts w:ascii="Arial" w:cs="Arial" w:eastAsia="Arial" w:hAnsi="Arial"/>
          <w:color w:val="1A1A2E"/>
          <w:sz w:val="22"/>
          <w:szCs w:val="22"/>
        </w:rPr>
        <w:t xml:space="preserve">It provides a meaningful buffer above the definitive deficiency cutoff, appropriate for an empirical trial threshold rather than a definitive diagnosis</w:t>
      </w:r>
    </w:p>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500"/>
        <w:gridCol w:w="1500"/>
        <w:gridCol w:w="1700"/>
        <w:gridCol w:w="2660"/>
      </w:tblGrid>
      <w:tr>
        <w:tc>
          <w:tcPr>
            <w:tcW w:type="dxa" w:w="300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pPr>
            <w:r>
              <w:rPr>
                <w:rFonts w:ascii="Arial" w:cs="Arial" w:eastAsia="Arial" w:hAnsi="Arial"/>
                <w:b/>
                <w:bCs/>
                <w:color w:val="FFFFFF"/>
                <w:sz w:val="19"/>
                <w:szCs w:val="19"/>
              </w:rPr>
              <w:t xml:space="preserve">Reference Standard</w:t>
            </w:r>
          </w:p>
        </w:tc>
        <w:tc>
          <w:tcPr>
            <w:tcW w:type="dxa" w:w="150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pPr>
            <w:r>
              <w:rPr>
                <w:rFonts w:ascii="Arial" w:cs="Arial" w:eastAsia="Arial" w:hAnsi="Arial"/>
                <w:b/>
                <w:bCs/>
                <w:color w:val="FFFFFF"/>
                <w:sz w:val="19"/>
                <w:szCs w:val="19"/>
              </w:rPr>
              <w:t xml:space="preserve">ng/dL</w:t>
            </w:r>
          </w:p>
        </w:tc>
        <w:tc>
          <w:tcPr>
            <w:tcW w:type="dxa" w:w="150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pPr>
            <w:r>
              <w:rPr>
                <w:rFonts w:ascii="Arial" w:cs="Arial" w:eastAsia="Arial" w:hAnsi="Arial"/>
                <w:b/>
                <w:bCs/>
                <w:color w:val="FFFFFF"/>
                <w:sz w:val="19"/>
                <w:szCs w:val="19"/>
              </w:rPr>
              <w:t xml:space="preserve">pg/mL</w:t>
            </w:r>
          </w:p>
        </w:tc>
        <w:tc>
          <w:tcPr>
            <w:tcW w:type="dxa" w:w="170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pPr>
            <w:r>
              <w:rPr>
                <w:rFonts w:ascii="Arial" w:cs="Arial" w:eastAsia="Arial" w:hAnsi="Arial"/>
                <w:b/>
                <w:bCs/>
                <w:color w:val="FFFFFF"/>
                <w:sz w:val="19"/>
                <w:szCs w:val="19"/>
              </w:rPr>
              <w:t xml:space="preserve">pmol/L</w:t>
            </w:r>
          </w:p>
        </w:tc>
        <w:tc>
          <w:tcPr>
            <w:tcW w:type="dxa" w:w="266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pPr>
            <w:r>
              <w:rPr>
                <w:rFonts w:ascii="Arial" w:cs="Arial" w:eastAsia="Arial" w:hAnsi="Arial"/>
                <w:b/>
                <w:bCs/>
                <w:color w:val="FFFFFF"/>
                <w:sz w:val="19"/>
                <w:szCs w:val="19"/>
              </w:rPr>
              <w:t xml:space="preserve">Clinical Meaning</w:t>
            </w:r>
          </w:p>
        </w:tc>
      </w:tr>
      <w:tr>
        <w:tc>
          <w:tcPr>
            <w:tcW w:type="dxa" w:w="30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bCs/>
                <w:color w:val="1A7A8C"/>
                <w:sz w:val="19"/>
                <w:szCs w:val="19"/>
              </w:rPr>
              <w:t xml:space="preserve">EAU 2024 / BSSM definitive deficiency cutoff</w:t>
            </w:r>
          </w:p>
        </w:tc>
        <w:tc>
          <w:tcPr>
            <w:tcW w:type="dxa" w:w="15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val="false"/>
                <w:bCs w:val="false"/>
                <w:color w:val="1A1A2E"/>
                <w:sz w:val="19"/>
                <w:szCs w:val="19"/>
              </w:rPr>
              <w:t xml:space="preserve">&lt;6.3–6.5 ng/dL</w:t>
            </w:r>
          </w:p>
        </w:tc>
        <w:tc>
          <w:tcPr>
            <w:tcW w:type="dxa" w:w="15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val="false"/>
                <w:bCs w:val="false"/>
                <w:color w:val="1A1A2E"/>
                <w:sz w:val="19"/>
                <w:szCs w:val="19"/>
              </w:rPr>
              <w:t xml:space="preserve">&lt;63–65 pg/mL</w:t>
            </w:r>
          </w:p>
        </w:tc>
        <w:tc>
          <w:tcPr>
            <w:tcW w:type="dxa" w:w="17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val="false"/>
                <w:bCs w:val="false"/>
                <w:color w:val="1A1A2E"/>
                <w:sz w:val="19"/>
                <w:szCs w:val="19"/>
              </w:rPr>
              <w:t xml:space="preserve">&lt;220–225 pmol/L</w:t>
            </w:r>
          </w:p>
        </w:tc>
        <w:tc>
          <w:tcPr>
            <w:tcW w:type="dxa" w:w="266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val="false"/>
                <w:bCs w:val="false"/>
                <w:color w:val="1A1A2E"/>
                <w:sz w:val="19"/>
                <w:szCs w:val="19"/>
              </w:rPr>
              <w:t xml:space="preserve">Definitively low; treat if symptomatic</w:t>
            </w:r>
          </w:p>
        </w:tc>
      </w:tr>
      <w:tr>
        <w:tc>
          <w:tcPr>
            <w:tcW w:type="dxa" w:w="30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bCs/>
                <w:color w:val="1A7A8C"/>
                <w:sz w:val="19"/>
                <w:szCs w:val="19"/>
              </w:rPr>
              <w:t xml:space="preserve">Symptom-worsening threshold (Liu 2017)</w:t>
            </w:r>
          </w:p>
        </w:tc>
        <w:tc>
          <w:tcPr>
            <w:tcW w:type="dxa" w:w="15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val="false"/>
                <w:bCs w:val="false"/>
                <w:color w:val="1A1A2E"/>
                <w:sz w:val="19"/>
                <w:szCs w:val="19"/>
              </w:rPr>
              <w:t xml:space="preserve">&lt;7.7 ng/dL</w:t>
            </w:r>
          </w:p>
        </w:tc>
        <w:tc>
          <w:tcPr>
            <w:tcW w:type="dxa" w:w="15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val="false"/>
                <w:bCs w:val="false"/>
                <w:color w:val="1A1A2E"/>
                <w:sz w:val="19"/>
                <w:szCs w:val="19"/>
              </w:rPr>
              <w:t xml:space="preserve">&lt;77 pg/mL</w:t>
            </w:r>
          </w:p>
        </w:tc>
        <w:tc>
          <w:tcPr>
            <w:tcW w:type="dxa" w:w="17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val="false"/>
                <w:bCs w:val="false"/>
                <w:color w:val="1A1A2E"/>
                <w:sz w:val="19"/>
                <w:szCs w:val="19"/>
              </w:rPr>
              <w:t xml:space="preserve">&lt;268 pmol/L</w:t>
            </w:r>
          </w:p>
        </w:tc>
        <w:tc>
          <w:tcPr>
            <w:tcW w:type="dxa" w:w="266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val="false"/>
                <w:bCs w:val="false"/>
                <w:color w:val="1A1A2E"/>
                <w:sz w:val="19"/>
                <w:szCs w:val="19"/>
              </w:rPr>
              <w:t xml:space="preserve">Symptoms increase below this level</w:t>
            </w:r>
          </w:p>
        </w:tc>
      </w:tr>
      <w:tr>
        <w:tc>
          <w:tcPr>
            <w:tcW w:type="dxa" w:w="30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bCs/>
                <w:color w:val="1A7A8C"/>
                <w:sz w:val="19"/>
                <w:szCs w:val="19"/>
              </w:rPr>
              <w:t xml:space="preserve">Revive empirical trial threshold (this document)</w:t>
            </w:r>
          </w:p>
        </w:tc>
        <w:tc>
          <w:tcPr>
            <w:tcW w:type="dxa" w:w="15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val="false"/>
                <w:bCs w:val="false"/>
                <w:color w:val="C0392B"/>
                <w:sz w:val="19"/>
                <w:szCs w:val="19"/>
              </w:rPr>
              <w:t xml:space="preserve">&lt;8.5 ng/dL</w:t>
            </w:r>
          </w:p>
        </w:tc>
        <w:tc>
          <w:tcPr>
            <w:tcW w:type="dxa" w:w="15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val="false"/>
                <w:bCs w:val="false"/>
                <w:color w:val="C0392B"/>
                <w:sz w:val="19"/>
                <w:szCs w:val="19"/>
              </w:rPr>
              <w:t xml:space="preserve">&lt;85 pg/mL</w:t>
            </w:r>
          </w:p>
        </w:tc>
        <w:tc>
          <w:tcPr>
            <w:tcW w:type="dxa" w:w="17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val="false"/>
                <w:bCs w:val="false"/>
                <w:color w:val="C0392B"/>
                <w:sz w:val="19"/>
                <w:szCs w:val="19"/>
              </w:rPr>
              <w:t xml:space="preserve">&lt;295 pmol/L</w:t>
            </w:r>
          </w:p>
        </w:tc>
        <w:tc>
          <w:tcPr>
            <w:tcW w:type="dxa" w:w="266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val="false"/>
                <w:bCs w:val="false"/>
                <w:color w:val="1A1A2E"/>
                <w:sz w:val="19"/>
                <w:szCs w:val="19"/>
              </w:rPr>
              <w:t xml:space="preserve">Supports trial in symptomatic men where SHBG may be increased or elevated</w:t>
            </w:r>
          </w:p>
        </w:tc>
      </w:tr>
      <w:tr>
        <w:tc>
          <w:tcPr>
            <w:tcW w:type="dxa" w:w="30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bCs/>
                <w:color w:val="1A7A8C"/>
                <w:sz w:val="19"/>
                <w:szCs w:val="19"/>
              </w:rPr>
              <w:t xml:space="preserve">Framingham 2.5th percentile (all adult men)</w:t>
            </w:r>
          </w:p>
        </w:tc>
        <w:tc>
          <w:tcPr>
            <w:tcW w:type="dxa" w:w="15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val="false"/>
                <w:bCs w:val="false"/>
                <w:color w:val="1A1A2E"/>
                <w:sz w:val="19"/>
                <w:szCs w:val="19"/>
              </w:rPr>
              <w:t xml:space="preserve">&lt;7.0 ng/dL</w:t>
            </w:r>
          </w:p>
        </w:tc>
        <w:tc>
          <w:tcPr>
            <w:tcW w:type="dxa" w:w="15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val="false"/>
                <w:bCs w:val="false"/>
                <w:color w:val="1A1A2E"/>
                <w:sz w:val="19"/>
                <w:szCs w:val="19"/>
              </w:rPr>
              <w:t xml:space="preserve">&lt;70 pg/mL</w:t>
            </w:r>
          </w:p>
        </w:tc>
        <w:tc>
          <w:tcPr>
            <w:tcW w:type="dxa" w:w="17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val="false"/>
                <w:bCs w:val="false"/>
                <w:color w:val="1A1A2E"/>
                <w:sz w:val="19"/>
                <w:szCs w:val="19"/>
              </w:rPr>
              <w:t xml:space="preserve">&lt;243 pmol/L</w:t>
            </w:r>
          </w:p>
        </w:tc>
        <w:tc>
          <w:tcPr>
            <w:tcW w:type="dxa" w:w="266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val="false"/>
                <w:bCs w:val="false"/>
                <w:color w:val="1A1A2E"/>
                <w:sz w:val="19"/>
                <w:szCs w:val="19"/>
              </w:rPr>
              <w:t xml:space="preserve">Below 2.5th percentile across all ages</w:t>
            </w:r>
          </w:p>
        </w:tc>
      </w:tr>
      <w:tr>
        <w:tc>
          <w:tcPr>
            <w:tcW w:type="dxa" w:w="30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bCs/>
                <w:color w:val="1A7A8C"/>
                <w:sz w:val="19"/>
                <w:szCs w:val="19"/>
              </w:rPr>
              <w:t xml:space="preserve">Lower limit of normal, men 19–39 yrs (Jasuja 2023)</w:t>
            </w:r>
          </w:p>
        </w:tc>
        <w:tc>
          <w:tcPr>
            <w:tcW w:type="dxa" w:w="15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val="false"/>
                <w:bCs w:val="false"/>
                <w:color w:val="1A1A2E"/>
                <w:sz w:val="19"/>
                <w:szCs w:val="19"/>
              </w:rPr>
              <w:t xml:space="preserve">&lt;12.0 ng/dL</w:t>
            </w:r>
          </w:p>
        </w:tc>
        <w:tc>
          <w:tcPr>
            <w:tcW w:type="dxa" w:w="15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val="false"/>
                <w:bCs w:val="false"/>
                <w:color w:val="1A1A2E"/>
                <w:sz w:val="19"/>
                <w:szCs w:val="19"/>
              </w:rPr>
              <w:t xml:space="preserve">&lt;120 pg/mL</w:t>
            </w:r>
          </w:p>
        </w:tc>
        <w:tc>
          <w:tcPr>
            <w:tcW w:type="dxa" w:w="17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val="false"/>
                <w:bCs w:val="false"/>
                <w:color w:val="1A1A2E"/>
                <w:sz w:val="19"/>
                <w:szCs w:val="19"/>
              </w:rPr>
              <w:t xml:space="preserve">&lt;415 pmol/L</w:t>
            </w:r>
          </w:p>
        </w:tc>
        <w:tc>
          <w:tcPr>
            <w:tcW w:type="dxa" w:w="266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val="false"/>
                <w:bCs w:val="false"/>
                <w:color w:val="1A1A2E"/>
                <w:sz w:val="19"/>
                <w:szCs w:val="19"/>
              </w:rPr>
              <w:t xml:space="preserve">Below statistical lower limit of normal for young men</w:t>
            </w:r>
          </w:p>
        </w:tc>
      </w:tr>
      <w:tr>
        <w:tc>
          <w:tcPr>
            <w:tcW w:type="dxa" w:w="30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bCs/>
                <w:color w:val="1A7A8C"/>
                <w:sz w:val="19"/>
                <w:szCs w:val="19"/>
              </w:rPr>
              <w:t xml:space="preserve">Median, healthy adult men aged 19–39 (Jasuja 2023)</w:t>
            </w:r>
          </w:p>
        </w:tc>
        <w:tc>
          <w:tcPr>
            <w:tcW w:type="dxa" w:w="15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val="false"/>
                <w:bCs w:val="false"/>
                <w:color w:val="1A1A2E"/>
                <w:sz w:val="19"/>
                <w:szCs w:val="19"/>
              </w:rPr>
              <w:t xml:space="preserve">19.0 ng/dL</w:t>
            </w:r>
          </w:p>
        </w:tc>
        <w:tc>
          <w:tcPr>
            <w:tcW w:type="dxa" w:w="15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val="false"/>
                <w:bCs w:val="false"/>
                <w:color w:val="1A1A2E"/>
                <w:sz w:val="19"/>
                <w:szCs w:val="19"/>
              </w:rPr>
              <w:t xml:space="preserve">190 pg/mL</w:t>
            </w:r>
          </w:p>
        </w:tc>
        <w:tc>
          <w:tcPr>
            <w:tcW w:type="dxa" w:w="17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val="false"/>
                <w:bCs w:val="false"/>
                <w:color w:val="1A1A2E"/>
                <w:sz w:val="19"/>
                <w:szCs w:val="19"/>
              </w:rPr>
              <w:t xml:space="preserve">658 pmol/L</w:t>
            </w:r>
          </w:p>
        </w:tc>
        <w:tc>
          <w:tcPr>
            <w:tcW w:type="dxa" w:w="266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val="false"/>
                <w:bCs w:val="false"/>
                <w:color w:val="1A1A2E"/>
                <w:sz w:val="19"/>
                <w:szCs w:val="19"/>
              </w:rPr>
              <w:t xml:space="preserve">Reference midpoint — 50th percentile</w:t>
            </w:r>
          </w:p>
        </w:tc>
      </w:tr>
    </w:tbl>
    <w:p>
      <w:pPr>
        <w:spacing w:before="0" w:after="120"/>
      </w:pPr>
    </w:p>
    <w:tbl>
      <w:tblPr>
        <w:tblW w:type="dxa" w:w="9360"/>
        <w:tblBorders>
          <w:top w:val="none" w:color="FFFFFF" w:sz="0"/>
          <w:left w:val="single" w:color="D4860A"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EF9E7" w:val="clear"/>
            <w:tcMar>
              <w:top w:type="dxa" w:w="60"/>
              <w:left w:type="dxa" w:w="140"/>
              <w:bottom w:type="dxa" w:w="0"/>
              <w:right w:type="dxa" w:w="140"/>
            </w:tcMar>
          </w:tcPr>
          <w:p>
            <w:pPr>
              <w:spacing w:before="0" w:after="40"/>
            </w:pPr>
            <w:r>
              <w:rPr>
                <w:rFonts w:ascii="Arial" w:cs="Arial" w:eastAsia="Arial" w:hAnsi="Arial"/>
                <w:b/>
                <w:bCs/>
                <w:color w:val="D4860A"/>
                <w:sz w:val="20"/>
                <w:szCs w:val="20"/>
              </w:rPr>
              <w:t xml:space="preserve">Age-Specific Considerations</w:t>
            </w:r>
          </w:p>
        </w:tc>
      </w:tr>
      <w:tr>
        <w:tc>
          <w:tcPr>
            <w:tcW w:type="dxa" w:w="9360"/>
            <w:tcBorders>
              <w:top w:val="none" w:color="FFFFFF" w:sz="0"/>
              <w:left w:val="none" w:color="FFFFFF" w:sz="0"/>
              <w:bottom w:val="none" w:color="FFFFFF" w:sz="0"/>
              <w:right w:val="none" w:color="FFFFFF" w:sz="0"/>
            </w:tcBorders>
            <w:shd w:fill="FEF9E7"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Testosterone levels decline naturally with age. SHBG typically rises by 1–2% per year after age 40, meaning older men are progressively more likely to have free testosterone deficiency despite ‘adequate’ total testosterone levels. Your clinician will interpret your results in the context of your age, SHBG level, and symptom profile.</w:t>
            </w:r>
          </w:p>
        </w:tc>
      </w:tr>
    </w:tbl>
    <w:p>
      <w:pPr>
        <w:spacing w:before="0" w:after="200"/>
      </w:pPr>
    </w:p>
    <w:p>
      <w:pPr>
        <w:pStyle w:val="Heading2"/>
        <w:spacing w:before="160" w:after="80"/>
      </w:pPr>
      <w:r>
        <w:rPr>
          <w:rFonts w:ascii="Arial" w:cs="Arial" w:eastAsia="Arial" w:hAnsi="Arial"/>
          <w:b/>
          <w:bCs/>
          <w:color w:val="1A7A8C"/>
          <w:sz w:val="24"/>
          <w:szCs w:val="24"/>
        </w:rPr>
        <w:t xml:space="preserve">2.5  How Your Clinician Uses These Measures Together</w:t>
      </w:r>
    </w:p>
    <w:p>
      <w:pPr>
        <w:spacing w:before="20" w:after="100"/>
      </w:pPr>
      <w:r>
        <w:rPr>
          <w:rFonts w:ascii="Arial" w:cs="Arial" w:eastAsia="Arial" w:hAnsi="Arial"/>
          <w:color w:val="1A1A2E"/>
          <w:sz w:val="22"/>
          <w:szCs w:val="22"/>
        </w:rPr>
        <w:t xml:space="preserve">Rather than relying on either total testosterone or calculated free testosterone alone, Revive uses a combined approach that interprets both measures alongside SHBG. The following framework guides the clinical decision:</w:t>
      </w:r>
    </w:p>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80"/>
        <w:gridCol w:w="8680"/>
      </w:tblGrid>
      <w:tr>
        <w:tc>
          <w:tcPr>
            <w:tcW w:type="dxa" w:w="680"/>
            <w:tcBorders>
              <w:top w:val="single" w:color="1A7A8C" w:sz="1"/>
              <w:left w:val="single" w:color="1A7A8C" w:sz="1"/>
              <w:bottom w:val="single" w:color="1A7A8C" w:sz="1"/>
              <w:right w:val="single" w:color="1A7A8C" w:sz="1"/>
            </w:tcBorders>
            <w:shd w:fill="1A7A8C" w:val="clear"/>
            <w:tcMar>
              <w:top w:type="dxa" w:w="80"/>
              <w:left w:type="dxa" w:w="80"/>
              <w:bottom w:type="dxa" w:w="80"/>
              <w:right w:type="dxa" w:w="80"/>
            </w:tcMar>
            <w:vAlign w:val="center"/>
          </w:tcPr>
          <w:p>
            <w:pPr>
              <w:spacing w:before="0" w:after="0"/>
              <w:jc w:val="center"/>
            </w:pPr>
            <w:r>
              <w:rPr>
                <w:rFonts w:ascii="Arial" w:cs="Arial" w:eastAsia="Arial" w:hAnsi="Arial"/>
                <w:b/>
                <w:bCs/>
                <w:color w:val="FFFFFF"/>
                <w:sz w:val="22"/>
                <w:szCs w:val="22"/>
              </w:rPr>
              <w:t xml:space="preserve">1</w:t>
            </w:r>
          </w:p>
        </w:tc>
        <w:tc>
          <w:tcPr>
            <w:tcW w:type="dxa" w:w="868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80"/>
            </w:tcMar>
          </w:tcPr>
          <w:p>
            <w:pPr>
              <w:spacing w:before="0" w:after="0"/>
            </w:pPr>
            <w:r>
              <w:rPr>
                <w:rFonts w:ascii="Arial" w:cs="Arial" w:eastAsia="Arial" w:hAnsi="Arial"/>
                <w:color w:val="1A1A2E"/>
                <w:sz w:val="20"/>
                <w:szCs w:val="20"/>
              </w:rPr>
              <w:t xml:space="preserve">Measure SHBG alongside every testosterone panel. It is the key to interpreting the result.</w:t>
            </w:r>
          </w:p>
        </w:tc>
      </w:tr>
      <w:tr>
        <w:tc>
          <w:tcPr>
            <w:tcW w:type="dxa" w:w="680"/>
            <w:tcBorders>
              <w:top w:val="single" w:color="1A7A8C" w:sz="1"/>
              <w:left w:val="single" w:color="1A7A8C" w:sz="1"/>
              <w:bottom w:val="single" w:color="1A7A8C" w:sz="1"/>
              <w:right w:val="single" w:color="1A7A8C" w:sz="1"/>
            </w:tcBorders>
            <w:shd w:fill="1A7A8C" w:val="clear"/>
            <w:tcMar>
              <w:top w:type="dxa" w:w="80"/>
              <w:left w:type="dxa" w:w="80"/>
              <w:bottom w:type="dxa" w:w="80"/>
              <w:right w:type="dxa" w:w="80"/>
            </w:tcMar>
            <w:vAlign w:val="center"/>
          </w:tcPr>
          <w:p>
            <w:pPr>
              <w:spacing w:before="0" w:after="0"/>
              <w:jc w:val="center"/>
            </w:pPr>
            <w:r>
              <w:rPr>
                <w:rFonts w:ascii="Arial" w:cs="Arial" w:eastAsia="Arial" w:hAnsi="Arial"/>
                <w:b/>
                <w:bCs/>
                <w:color w:val="FFFFFF"/>
                <w:sz w:val="22"/>
                <w:szCs w:val="22"/>
              </w:rPr>
              <w:t xml:space="preserve">2</w:t>
            </w:r>
          </w:p>
        </w:tc>
        <w:tc>
          <w:tcPr>
            <w:tcW w:type="dxa" w:w="868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80"/>
            </w:tcMar>
          </w:tcPr>
          <w:p>
            <w:pPr>
              <w:spacing w:before="0" w:after="0"/>
            </w:pPr>
            <w:r>
              <w:rPr>
                <w:rFonts w:ascii="Arial" w:cs="Arial" w:eastAsia="Arial" w:hAnsi="Arial"/>
                <w:color w:val="1A1A2E"/>
                <w:sz w:val="20"/>
                <w:szCs w:val="20"/>
              </w:rPr>
              <w:t xml:space="preserve">If total testosterone is below 300 ng/dL with normal SHBG: strong biochemical evidence of deficiency. Confirm with a second draw. Evaluate for treatment if symptomatic.</w:t>
            </w:r>
          </w:p>
        </w:tc>
      </w:tr>
      <w:tr>
        <w:tc>
          <w:tcPr>
            <w:tcW w:type="dxa" w:w="680"/>
            <w:tcBorders>
              <w:top w:val="single" w:color="1A7A8C" w:sz="1"/>
              <w:left w:val="single" w:color="1A7A8C" w:sz="1"/>
              <w:bottom w:val="single" w:color="1A7A8C" w:sz="1"/>
              <w:right w:val="single" w:color="1A7A8C" w:sz="1"/>
            </w:tcBorders>
            <w:shd w:fill="1A7A8C" w:val="clear"/>
            <w:tcMar>
              <w:top w:type="dxa" w:w="80"/>
              <w:left w:type="dxa" w:w="80"/>
              <w:bottom w:type="dxa" w:w="80"/>
              <w:right w:type="dxa" w:w="80"/>
            </w:tcMar>
            <w:vAlign w:val="center"/>
          </w:tcPr>
          <w:p>
            <w:pPr>
              <w:spacing w:before="0" w:after="0"/>
              <w:jc w:val="center"/>
            </w:pPr>
            <w:r>
              <w:rPr>
                <w:rFonts w:ascii="Arial" w:cs="Arial" w:eastAsia="Arial" w:hAnsi="Arial"/>
                <w:b/>
                <w:bCs/>
                <w:color w:val="FFFFFF"/>
                <w:sz w:val="22"/>
                <w:szCs w:val="22"/>
              </w:rPr>
              <w:t xml:space="preserve">3</w:t>
            </w:r>
          </w:p>
        </w:tc>
        <w:tc>
          <w:tcPr>
            <w:tcW w:type="dxa" w:w="868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80"/>
            </w:tcMar>
          </w:tcPr>
          <w:p>
            <w:pPr>
              <w:spacing w:before="0" w:after="0"/>
            </w:pPr>
            <w:r>
              <w:rPr>
                <w:rFonts w:ascii="Arial" w:cs="Arial" w:eastAsia="Arial" w:hAnsi="Arial"/>
                <w:color w:val="1A1A2E"/>
                <w:sz w:val="20"/>
                <w:szCs w:val="20"/>
              </w:rPr>
              <w:t xml:space="preserve">If total testosterone is 300–450 ng/dL (grey zone): calculate free testosterone using the Vermeulen formula. If cFT is below 8.5 ng/dL AND the patient is symptomatic — an empirical trial is supported. If cFT is ≥8.5 ng/dL — consider lifestyle optimisation first and reassess in 3–6 months.</w:t>
            </w:r>
          </w:p>
        </w:tc>
      </w:tr>
      <w:tr>
        <w:tc>
          <w:tcPr>
            <w:tcW w:type="dxa" w:w="680"/>
            <w:tcBorders>
              <w:top w:val="single" w:color="1A7A8C" w:sz="1"/>
              <w:left w:val="single" w:color="1A7A8C" w:sz="1"/>
              <w:bottom w:val="single" w:color="1A7A8C" w:sz="1"/>
              <w:right w:val="single" w:color="1A7A8C" w:sz="1"/>
            </w:tcBorders>
            <w:shd w:fill="1A7A8C" w:val="clear"/>
            <w:tcMar>
              <w:top w:type="dxa" w:w="80"/>
              <w:left w:type="dxa" w:w="80"/>
              <w:bottom w:type="dxa" w:w="80"/>
              <w:right w:type="dxa" w:w="80"/>
            </w:tcMar>
            <w:vAlign w:val="center"/>
          </w:tcPr>
          <w:p>
            <w:pPr>
              <w:spacing w:before="0" w:after="0"/>
              <w:jc w:val="center"/>
            </w:pPr>
            <w:r>
              <w:rPr>
                <w:rFonts w:ascii="Arial" w:cs="Arial" w:eastAsia="Arial" w:hAnsi="Arial"/>
                <w:b/>
                <w:bCs/>
                <w:color w:val="FFFFFF"/>
                <w:sz w:val="22"/>
                <w:szCs w:val="22"/>
              </w:rPr>
              <w:t xml:space="preserve">4</w:t>
            </w:r>
          </w:p>
        </w:tc>
        <w:tc>
          <w:tcPr>
            <w:tcW w:type="dxa" w:w="868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80"/>
            </w:tcMar>
          </w:tcPr>
          <w:p>
            <w:pPr>
              <w:spacing w:before="0" w:after="0"/>
            </w:pPr>
            <w:r>
              <w:rPr>
                <w:rFonts w:ascii="Arial" w:cs="Arial" w:eastAsia="Arial" w:hAnsi="Arial"/>
                <w:color w:val="1A1A2E"/>
                <w:sz w:val="20"/>
                <w:szCs w:val="20"/>
              </w:rPr>
              <w:t xml:space="preserve">If total testosterone is below 300 ng/dL with low SHBG (e.g., obesity, diabetes): calculate cFT before diagnosing. If cFT is normal (above 8.5–10 ng/dL), total testosterone may not reflect true androgenic status. Address the SHBG-lowering condition first.</w:t>
            </w:r>
          </w:p>
        </w:tc>
      </w:tr>
      <w:tr>
        <w:tc>
          <w:tcPr>
            <w:tcW w:type="dxa" w:w="680"/>
            <w:tcBorders>
              <w:top w:val="single" w:color="1A7A8C" w:sz="1"/>
              <w:left w:val="single" w:color="1A7A8C" w:sz="1"/>
              <w:bottom w:val="single" w:color="1A7A8C" w:sz="1"/>
              <w:right w:val="single" w:color="1A7A8C" w:sz="1"/>
            </w:tcBorders>
            <w:shd w:fill="1A7A8C" w:val="clear"/>
            <w:tcMar>
              <w:top w:type="dxa" w:w="80"/>
              <w:left w:type="dxa" w:w="80"/>
              <w:bottom w:type="dxa" w:w="80"/>
              <w:right w:type="dxa" w:w="80"/>
            </w:tcMar>
            <w:vAlign w:val="center"/>
          </w:tcPr>
          <w:p>
            <w:pPr>
              <w:spacing w:before="0" w:after="0"/>
              <w:jc w:val="center"/>
            </w:pPr>
            <w:r>
              <w:rPr>
                <w:rFonts w:ascii="Arial" w:cs="Arial" w:eastAsia="Arial" w:hAnsi="Arial"/>
                <w:b/>
                <w:bCs/>
                <w:color w:val="FFFFFF"/>
                <w:sz w:val="22"/>
                <w:szCs w:val="22"/>
              </w:rPr>
              <w:t xml:space="preserve">5</w:t>
            </w:r>
          </w:p>
        </w:tc>
        <w:tc>
          <w:tcPr>
            <w:tcW w:type="dxa" w:w="868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80"/>
            </w:tcMar>
          </w:tcPr>
          <w:p>
            <w:pPr>
              <w:spacing w:before="0" w:after="0"/>
            </w:pPr>
            <w:r>
              <w:rPr>
                <w:rFonts w:ascii="Arial" w:cs="Arial" w:eastAsia="Arial" w:hAnsi="Arial"/>
                <w:color w:val="1A1A2E"/>
                <w:sz w:val="20"/>
                <w:szCs w:val="20"/>
              </w:rPr>
              <w:t xml:space="preserve">If total testosterone is above 450 ng/dL and SHBG may be increased or elevated: calculate cFT. If cFT is below 8.5 ng/dL AND the patient is symptomatic — free testosterone deficiency is present despite a ‘normal’ total testosterone. This is the classic scenario where total testosterone alone misses the diagnosis.</w:t>
            </w:r>
          </w:p>
        </w:tc>
      </w:tr>
    </w:tbl>
    <w:p>
      <w:pPr>
        <w:spacing w:before="0" w:after="200"/>
      </w:pPr>
    </w:p>
    <w:p>
      <w:pPr>
        <w:pStyle w:val="Heading2"/>
        <w:spacing w:before="160" w:after="80"/>
      </w:pPr>
      <w:r>
        <w:rPr>
          <w:rFonts w:ascii="Arial" w:cs="Arial" w:eastAsia="Arial" w:hAnsi="Arial"/>
          <w:b/>
          <w:bCs/>
          <w:color w:val="1A7A8C"/>
          <w:sz w:val="24"/>
          <w:szCs w:val="24"/>
        </w:rPr>
        <w:t xml:space="preserve">2.6  Empirical Treatment — When Labs Are Borderline</w:t>
      </w:r>
    </w:p>
    <w:p>
      <w:pPr>
        <w:spacing w:before="20" w:after="100"/>
      </w:pPr>
      <w:r>
        <w:rPr>
          <w:rFonts w:ascii="Arial" w:cs="Arial" w:eastAsia="Arial" w:hAnsi="Arial"/>
          <w:color w:val="1A1A2E"/>
          <w:sz w:val="22"/>
          <w:szCs w:val="22"/>
        </w:rPr>
        <w:t xml:space="preserve">Your clinician may recommend an empirical trial — a monitored, time-limited course of therapy to determine whether your symptoms improve. This may be appropriate when ANY of the following biochemical criteria are met alongside documented, clinically significant symptoms:</w:t>
      </w:r>
    </w:p>
    <w:p>
      <w:pPr>
        <w:spacing w:before="0" w:after="100"/>
      </w:pPr>
    </w:p>
    <w:p>
      <w:pPr>
        <w:pStyle w:val="ListParagraph"/>
        <w:numPr>
          <w:ilvl w:val="0"/>
          <w:numId w:val="2"/>
        </w:numPr>
        <w:spacing w:before="20" w:after="60"/>
      </w:pPr>
      <w:r>
        <w:rPr>
          <w:rFonts w:ascii="Arial" w:cs="Arial" w:eastAsia="Arial" w:hAnsi="Arial"/>
          <w:color w:val="1A1A2E"/>
          <w:sz w:val="22"/>
          <w:szCs w:val="22"/>
        </w:rPr>
        <w:t xml:space="preserve">Two confirmed morning total testosterone measurements ≤50 ng/dL taken at least 2–3 weeks apart, OR</w:t>
      </w:r>
    </w:p>
    <w:p>
      <w:pPr>
        <w:pStyle w:val="ListParagraph"/>
        <w:numPr>
          <w:ilvl w:val="0"/>
          <w:numId w:val="2"/>
        </w:numPr>
        <w:spacing w:before="20" w:after="60"/>
      </w:pPr>
      <w:r>
        <w:rPr>
          <w:rFonts w:ascii="Arial" w:cs="Arial" w:eastAsia="Arial" w:hAnsi="Arial"/>
          <w:color w:val="1A1A2E"/>
          <w:sz w:val="22"/>
          <w:szCs w:val="22"/>
        </w:rPr>
        <w:t xml:space="preserve">Calculated free testosterone ≤8.5 ng/dL (85 pg/mL) in a patient where SHBG may be increased or elevated, with total testosterone in the 300–550 ng/dL range, OR</w:t>
      </w:r>
    </w:p>
    <w:p>
      <w:pPr>
        <w:pStyle w:val="ListParagraph"/>
        <w:numPr>
          <w:ilvl w:val="0"/>
          <w:numId w:val="2"/>
        </w:numPr>
        <w:spacing w:before="20" w:after="60"/>
      </w:pPr>
      <w:r>
        <w:rPr>
          <w:rFonts w:ascii="Arial" w:cs="Arial" w:eastAsia="Arial" w:hAnsi="Arial"/>
          <w:color w:val="1A1A2E"/>
          <w:sz w:val="22"/>
          <w:szCs w:val="22"/>
        </w:rPr>
        <w:t xml:space="preserve">Calculated free testosterone ≤6.5 ng/dL (65 pg/mL) at any total testosterone level with compatible symptoms (EAU/BSSM definitive deficiency threshold)</w:t>
      </w:r>
    </w:p>
    <w:p>
      <w:pPr>
        <w:spacing w:before="0" w:after="100"/>
      </w:pPr>
    </w:p>
    <w:p>
      <w:pPr>
        <w:spacing w:before="20" w:after="100"/>
      </w:pPr>
      <w:r>
        <w:rPr>
          <w:rFonts w:ascii="Arial" w:cs="Arial" w:eastAsia="Arial" w:hAnsi="Arial"/>
          <w:color w:val="1A1A2E"/>
          <w:sz w:val="22"/>
          <w:szCs w:val="22"/>
        </w:rPr>
        <w:t xml:space="preserve">All of the following must also apply:</w:t>
      </w:r>
    </w:p>
    <w:p>
      <w:pPr>
        <w:spacing w:before="0" w:after="80"/>
      </w:pPr>
    </w:p>
    <w:p>
      <w:pPr>
        <w:pStyle w:val="ListParagraph"/>
        <w:numPr>
          <w:ilvl w:val="0"/>
          <w:numId w:val="2"/>
        </w:numPr>
        <w:spacing w:before="20" w:after="60"/>
      </w:pPr>
      <w:r>
        <w:rPr>
          <w:rFonts w:ascii="Arial" w:cs="Arial" w:eastAsia="Arial" w:hAnsi="Arial"/>
          <w:color w:val="1A1A2E"/>
          <w:sz w:val="22"/>
          <w:szCs w:val="22"/>
        </w:rPr>
        <w:t xml:space="preserve">Symptoms (low libido, fatigue, reduced motivation, mood changes, reduced muscle mass, poor morning erections) cause meaningful impairment in quality of life</w:t>
      </w:r>
    </w:p>
    <w:p>
      <w:pPr>
        <w:pStyle w:val="ListParagraph"/>
        <w:numPr>
          <w:ilvl w:val="0"/>
          <w:numId w:val="2"/>
        </w:numPr>
        <w:spacing w:before="20" w:after="60"/>
      </w:pPr>
      <w:r>
        <w:rPr>
          <w:rFonts w:ascii="Arial" w:cs="Arial" w:eastAsia="Arial" w:hAnsi="Arial"/>
          <w:color w:val="1A1A2E"/>
          <w:sz w:val="22"/>
          <w:szCs w:val="22"/>
        </w:rPr>
        <w:t xml:space="preserve">SHBG has been measured and calculated free testosterone has been documented</w:t>
      </w:r>
    </w:p>
    <w:p>
      <w:pPr>
        <w:pStyle w:val="ListParagraph"/>
        <w:numPr>
          <w:ilvl w:val="0"/>
          <w:numId w:val="2"/>
        </w:numPr>
        <w:spacing w:before="20" w:after="60"/>
      </w:pPr>
      <w:r>
        <w:rPr>
          <w:rFonts w:ascii="Arial" w:cs="Arial" w:eastAsia="Arial" w:hAnsi="Arial"/>
          <w:color w:val="1A1A2E"/>
          <w:sz w:val="22"/>
          <w:szCs w:val="22"/>
        </w:rPr>
        <w:t xml:space="preserve">Symptoms have not adequately responded to 3–6 months of targeted lifestyle optimisation — unless severity warrants earlier intervention</w:t>
      </w:r>
    </w:p>
    <w:p>
      <w:pPr>
        <w:pStyle w:val="ListParagraph"/>
        <w:numPr>
          <w:ilvl w:val="0"/>
          <w:numId w:val="2"/>
        </w:numPr>
        <w:spacing w:before="20" w:after="60"/>
      </w:pPr>
      <w:r>
        <w:rPr>
          <w:rFonts w:ascii="Arial" w:cs="Arial" w:eastAsia="Arial" w:hAnsi="Arial"/>
          <w:color w:val="1A1A2E"/>
          <w:sz w:val="22"/>
          <w:szCs w:val="22"/>
        </w:rPr>
        <w:t xml:space="preserve">Absence of contraindications to treatment</w:t>
      </w:r>
    </w:p>
    <w:p>
      <w:pPr>
        <w:spacing w:before="0" w:after="120"/>
      </w:pPr>
    </w:p>
    <w:tbl>
      <w:tblPr>
        <w:tblW w:type="dxa" w:w="9360"/>
        <w:tblBorders>
          <w:top w:val="none" w:color="FFFFFF" w:sz="0"/>
          <w:left w:val="single" w:color="D4860A"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EF9E7" w:val="clear"/>
            <w:tcMar>
              <w:top w:type="dxa" w:w="60"/>
              <w:left w:type="dxa" w:w="140"/>
              <w:bottom w:type="dxa" w:w="0"/>
              <w:right w:type="dxa" w:w="140"/>
            </w:tcMar>
          </w:tcPr>
          <w:p>
            <w:pPr>
              <w:spacing w:before="0" w:after="40"/>
            </w:pPr>
            <w:r>
              <w:rPr>
                <w:rFonts w:ascii="Arial" w:cs="Arial" w:eastAsia="Arial" w:hAnsi="Arial"/>
                <w:b/>
                <w:bCs/>
                <w:color w:val="D4860A"/>
                <w:sz w:val="20"/>
                <w:szCs w:val="20"/>
              </w:rPr>
              <w:t xml:space="preserve">What an Empirical Trial Means</w:t>
            </w:r>
          </w:p>
        </w:tc>
      </w:tr>
      <w:tr>
        <w:tc>
          <w:tcPr>
            <w:tcW w:type="dxa" w:w="9360"/>
            <w:tcBorders>
              <w:top w:val="none" w:color="FFFFFF" w:sz="0"/>
              <w:left w:val="none" w:color="FFFFFF" w:sz="0"/>
              <w:bottom w:val="none" w:color="FFFFFF" w:sz="0"/>
              <w:right w:val="none" w:color="FFFFFF" w:sz="0"/>
            </w:tcBorders>
            <w:shd w:fill="FEF9E7"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An empirical trial is a monitored, time-limited course of therapy — typically 3–6 months — with a clear plan to reassess whether symptoms have improved meaningfully. The target is to bring total testosterone into the AUA’s normal physiologic range of 450–600 ng/dL. If symptoms do not improve after an adequate trial at therapeutic levels, therapy will be reviewed and may be discontinued. Regular blood tests are required throughout.</w:t>
            </w:r>
          </w:p>
        </w:tc>
      </w:tr>
    </w:tbl>
    <w:p>
      <w:pPr>
        <w:spacing w:before="0" w:after="120"/>
      </w:pPr>
    </w:p>
    <w:tbl>
      <w:tblPr>
        <w:tblW w:type="dxa" w:w="9360"/>
        <w:tblBorders>
          <w:top w:val="none" w:color="FFFFFF" w:sz="0"/>
          <w:left w:val="single" w:color="C0392B"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EDEC" w:val="clear"/>
            <w:tcMar>
              <w:top w:type="dxa" w:w="60"/>
              <w:left w:type="dxa" w:w="140"/>
              <w:bottom w:type="dxa" w:w="0"/>
              <w:right w:type="dxa" w:w="140"/>
            </w:tcMar>
          </w:tcPr>
          <w:p>
            <w:pPr>
              <w:spacing w:before="0" w:after="40"/>
            </w:pPr>
            <w:r>
              <w:rPr>
                <w:rFonts w:ascii="Arial" w:cs="Arial" w:eastAsia="Arial" w:hAnsi="Arial"/>
                <w:b/>
                <w:bCs/>
                <w:color w:val="C0392B"/>
                <w:sz w:val="20"/>
                <w:szCs w:val="20"/>
              </w:rPr>
              <w:t xml:space="preserve">⚠  Empirical Treatment: Limitations</w:t>
            </w:r>
          </w:p>
        </w:tc>
      </w:tr>
      <w:tr>
        <w:tc>
          <w:tcPr>
            <w:tcW w:type="dxa" w:w="9360"/>
            <w:tcBorders>
              <w:top w:val="none" w:color="FFFFFF" w:sz="0"/>
              <w:left w:val="none" w:color="FFFFFF" w:sz="0"/>
              <w:bottom w:val="none" w:color="FFFFFF" w:sz="0"/>
              <w:right w:val="none" w:color="FFFFFF" w:sz="0"/>
            </w:tcBorders>
            <w:shd w:fill="FDEDEC"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Not all symptoms will improve with testosterone therapy even when deficiency is confirmed. Symptoms may have other causes that testosterone will not address. You should not start treatment expecting guaranteed results. Realistic expectations must be discussed with your clinician before agreeing to an empirical trial.</w:t>
            </w:r>
          </w:p>
        </w:tc>
      </w:tr>
    </w:tbl>
    <w:p>
      <w:pPr>
        <w:spacing w:before="0" w:after="200"/>
      </w:pPr>
    </w:p>
    <w:tbl>
      <w:tblPr>
        <w:tblW w:type="dxa" w:w="9360"/>
        <w:tblBorders>
          <w:top w:val="none" w:color="FFFFFF" w:sz="0"/>
          <w:left w:val="single" w:color="D4860A"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EF9E7" w:val="clear"/>
            <w:tcMar>
              <w:top w:type="dxa" w:w="60"/>
              <w:left w:type="dxa" w:w="140"/>
              <w:bottom w:type="dxa" w:w="0"/>
              <w:right w:type="dxa" w:w="140"/>
            </w:tcMar>
          </w:tcPr>
          <w:p>
            <w:pPr>
              <w:spacing w:before="0" w:after="40"/>
            </w:pPr>
            <w:r>
              <w:rPr>
                <w:rFonts w:ascii="Arial" w:cs="Arial" w:eastAsia="Arial" w:hAnsi="Arial"/>
                <w:b/>
                <w:bCs/>
                <w:color w:val="D4860A"/>
                <w:sz w:val="20"/>
                <w:szCs w:val="20"/>
              </w:rPr>
              <w:t xml:space="preserve">⚠  Clinician Reference Only — GLP-1 / Testosterone Interaction (Emerging Data — Not Yet in Guidelines)</w:t>
            </w:r>
          </w:p>
        </w:tc>
      </w:tr>
      <w:tr>
        <w:tc>
          <w:tcPr>
            <w:tcW w:type="dxa" w:w="9360"/>
            <w:tcBorders>
              <w:top w:val="none" w:color="FFFFFF" w:sz="0"/>
              <w:left w:val="none" w:color="FFFFFF" w:sz="0"/>
              <w:bottom w:val="none" w:color="FFFFFF" w:sz="0"/>
              <w:right w:val="none" w:color="FFFFFF" w:sz="0"/>
            </w:tcBorders>
            <w:shd w:fill="FEF9E7" w:val="clear"/>
            <w:tcMar>
              <w:top w:type="dxa" w:w="0"/>
              <w:left w:type="dxa" w:w="140"/>
              <w:bottom w:type="dxa" w:w="80"/>
              <w:right w:type="dxa" w:w="140"/>
            </w:tcMar>
          </w:tcPr>
          <w:p>
            <w:pPr>
              <w:spacing w:before="0" w:after="80"/>
            </w:pPr>
            <w:r>
              <w:rPr>
                <w:rFonts w:ascii="Arial" w:cs="Arial" w:eastAsia="Arial" w:hAnsi="Arial"/>
                <w:color w:val="1A1A2E"/>
                <w:sz w:val="20"/>
                <w:szCs w:val="20"/>
              </w:rPr>
              <w:t xml:space="preserve">Two 2025 studies are relevant to patients receiving or considering both GLP-1 medications and testosterone therapy. These findings are NOT disclosed to patients in this consent form because they are not yet incorporated into clinical guidelines, but clinicians should discuss them verbally as appropriate:</w:t>
            </w:r>
          </w:p>
          <w:p>
            <w:pPr>
              <w:pStyle w:val="ListParagraph"/>
              <w:numPr>
                <w:ilvl w:val="0"/>
                <w:numId w:val="2"/>
              </w:numPr>
              <w:spacing w:before="0" w:after="60"/>
            </w:pPr>
            <w:r>
              <w:rPr>
                <w:rFonts w:ascii="Arial" w:cs="Arial" w:eastAsia="Arial" w:hAnsi="Arial"/>
                <w:color w:val="1A1A2E"/>
                <w:sz w:val="20"/>
                <w:szCs w:val="20"/>
              </w:rPr>
              <w:t xml:space="preserve">Portillo Canales et al. (Endocrine Society 2025): GLP-1 medications produced 53–77% testosterone increases in men with obesity / T2D over 18 months alongside 10% weight reduction. GLP-1-mediated weight loss may partially or fully resolve functional testosterone deficiency. Reassess TRT protocol after ≥10% weight loss on GLP-1 therapy.</w:t>
            </w:r>
          </w:p>
          <w:p>
            <w:pPr>
              <w:pStyle w:val="ListParagraph"/>
              <w:numPr>
                <w:ilvl w:val="0"/>
                <w:numId w:val="2"/>
              </w:numPr>
              <w:spacing w:before="0" w:after="0"/>
            </w:pPr>
            <w:r>
              <w:rPr>
                <w:rFonts w:ascii="Arial" w:cs="Arial" w:eastAsia="Arial" w:hAnsi="Arial"/>
                <w:color w:val="1A1A2E"/>
                <w:sz w:val="20"/>
                <w:szCs w:val="20"/>
              </w:rPr>
              <w:t xml:space="preserve">Able et al. (TriNetX 2024): semaglutide in non-diabetic obese men was associated with increased erectile dysfunction risk. Monitor ED symptoms in patients started on semaglutide who are not already receiving ED treatment.</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3.  Treatment Options Overview</w:t>
            </w:r>
          </w:p>
        </w:tc>
      </w:tr>
    </w:tbl>
    <w:p>
      <w:pPr>
        <w:spacing w:before="0" w:after="160"/>
      </w:pPr>
    </w:p>
    <w:p>
      <w:pPr>
        <w:spacing w:before="20" w:after="100"/>
      </w:pPr>
      <w:r>
        <w:rPr>
          <w:rFonts w:ascii="Arial" w:cs="Arial" w:eastAsia="Arial" w:hAnsi="Arial"/>
          <w:color w:val="1A1A2E"/>
          <w:sz w:val="22"/>
          <w:szCs w:val="22"/>
        </w:rPr>
        <w:t xml:space="preserve">Multiple treatment approaches exist for testosterone deficiency. The appropriate option(s) for you will depend on your laboratory results, symptoms, health history, fertility goals, and personal preferences. Your clinician will discuss the most suitable options at your appointment. Not all options listed here will be offered to every patient.</w:t>
      </w:r>
    </w:p>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500"/>
        <w:gridCol w:w="1500"/>
        <w:gridCol w:w="3760"/>
      </w:tblGrid>
      <w:tr>
        <w:tc>
          <w:tcPr>
            <w:tcW w:type="dxa" w:w="2600"/>
            <w:tcBorders>
              <w:top w:val="single" w:color="1B3A6B" w:sz="1"/>
              <w:left w:val="single" w:color="1B3A6B" w:sz="1"/>
              <w:bottom w:val="single" w:color="1B3A6B" w:sz="1"/>
              <w:right w:val="single" w:color="1B3A6B" w:sz="1"/>
            </w:tcBorders>
            <w:shd w:fill="1B3A6B" w:val="clear"/>
            <w:tcMar>
              <w:top w:type="dxa" w:w="80"/>
              <w:left w:type="dxa" w:w="120"/>
              <w:bottom w:type="dxa" w:w="80"/>
              <w:right w:type="dxa" w:w="80"/>
            </w:tcMar>
            <w:vAlign w:val="center"/>
          </w:tcPr>
          <w:p>
            <w:pPr>
              <w:spacing w:before="0" w:after="0"/>
            </w:pPr>
            <w:r>
              <w:rPr>
                <w:rFonts w:ascii="Arial" w:cs="Arial" w:eastAsia="Arial" w:hAnsi="Arial"/>
                <w:b/>
                <w:bCs/>
                <w:color w:val="FFFFFF"/>
                <w:sz w:val="20"/>
                <w:szCs w:val="20"/>
              </w:rPr>
              <w:t xml:space="preserve">Medication</w:t>
            </w:r>
          </w:p>
        </w:tc>
        <w:tc>
          <w:tcPr>
            <w:tcW w:type="dxa" w:w="1500"/>
            <w:tcBorders>
              <w:top w:val="single" w:color="1B3A6B" w:sz="1"/>
              <w:left w:val="single" w:color="1B3A6B" w:sz="1"/>
              <w:bottom w:val="single" w:color="1B3A6B" w:sz="1"/>
              <w:right w:val="single" w:color="1B3A6B" w:sz="1"/>
            </w:tcBorders>
            <w:shd w:fill="1B3A6B" w:val="clear"/>
            <w:tcMar>
              <w:top w:type="dxa" w:w="80"/>
              <w:left w:type="dxa" w:w="120"/>
              <w:bottom w:type="dxa" w:w="80"/>
              <w:right w:type="dxa" w:w="80"/>
            </w:tcMar>
            <w:vAlign w:val="center"/>
          </w:tcPr>
          <w:p>
            <w:pPr>
              <w:spacing w:before="0" w:after="0"/>
            </w:pPr>
            <w:r>
              <w:rPr>
                <w:rFonts w:ascii="Arial" w:cs="Arial" w:eastAsia="Arial" w:hAnsi="Arial"/>
                <w:b/>
                <w:bCs/>
                <w:color w:val="FFFFFF"/>
                <w:sz w:val="20"/>
                <w:szCs w:val="20"/>
              </w:rPr>
              <w:t xml:space="preserve">Route</w:t>
            </w:r>
          </w:p>
        </w:tc>
        <w:tc>
          <w:tcPr>
            <w:tcW w:type="dxa" w:w="1500"/>
            <w:tcBorders>
              <w:top w:val="single" w:color="1B3A6B" w:sz="1"/>
              <w:left w:val="single" w:color="1B3A6B" w:sz="1"/>
              <w:bottom w:val="single" w:color="1B3A6B" w:sz="1"/>
              <w:right w:val="single" w:color="1B3A6B" w:sz="1"/>
            </w:tcBorders>
            <w:shd w:fill="1B3A6B" w:val="clear"/>
            <w:tcMar>
              <w:top w:type="dxa" w:w="80"/>
              <w:left w:type="dxa" w:w="120"/>
              <w:bottom w:type="dxa" w:w="80"/>
              <w:right w:type="dxa" w:w="80"/>
            </w:tcMar>
            <w:vAlign w:val="center"/>
          </w:tcPr>
          <w:p>
            <w:pPr>
              <w:spacing w:before="0" w:after="0"/>
            </w:pPr>
            <w:r>
              <w:rPr>
                <w:rFonts w:ascii="Arial" w:cs="Arial" w:eastAsia="Arial" w:hAnsi="Arial"/>
                <w:b/>
                <w:bCs/>
                <w:color w:val="FFFFFF"/>
                <w:sz w:val="20"/>
                <w:szCs w:val="20"/>
              </w:rPr>
              <w:t xml:space="preserve">Frequency</w:t>
            </w:r>
          </w:p>
        </w:tc>
        <w:tc>
          <w:tcPr>
            <w:tcW w:type="dxa" w:w="3760"/>
            <w:tcBorders>
              <w:top w:val="single" w:color="1B3A6B" w:sz="1"/>
              <w:left w:val="single" w:color="1B3A6B" w:sz="1"/>
              <w:bottom w:val="single" w:color="1B3A6B" w:sz="1"/>
              <w:right w:val="single" w:color="1B3A6B" w:sz="1"/>
            </w:tcBorders>
            <w:shd w:fill="1B3A6B" w:val="clear"/>
            <w:tcMar>
              <w:top w:type="dxa" w:w="80"/>
              <w:left w:type="dxa" w:w="120"/>
              <w:bottom w:type="dxa" w:w="80"/>
              <w:right w:type="dxa" w:w="80"/>
            </w:tcMar>
            <w:vAlign w:val="center"/>
          </w:tcPr>
          <w:p>
            <w:pPr>
              <w:spacing w:before="0" w:after="0"/>
            </w:pPr>
            <w:r>
              <w:rPr>
                <w:rFonts w:ascii="Arial" w:cs="Arial" w:eastAsia="Arial" w:hAnsi="Arial"/>
                <w:b/>
                <w:bCs/>
                <w:color w:val="FFFFFF"/>
                <w:sz w:val="20"/>
                <w:szCs w:val="20"/>
              </w:rPr>
              <w:t xml:space="preserve">Primary Purpose</w:t>
            </w:r>
          </w:p>
        </w:tc>
      </w:tr>
      <w:tr>
        <w:tc>
          <w:tcPr>
            <w:tcW w:type="dxa" w:w="2600"/>
            <w:tcBorders>
              <w:top w:val="single" w:color="BDC3C7" w:sz="1"/>
              <w:left w:val="single" w:color="BDC3C7" w:sz="1"/>
              <w:bottom w:val="single" w:color="BDC3C7" w:sz="1"/>
              <w:right w:val="single" w:color="BDC3C7" w:sz="1"/>
            </w:tcBorders>
            <w:shd w:fill="FFFFFF" w:val="clear"/>
            <w:tcMar>
              <w:top w:type="dxa" w:w="70"/>
              <w:left w:type="dxa" w:w="120"/>
              <w:bottom w:type="dxa" w:w="70"/>
              <w:right w:type="dxa" w:w="80"/>
            </w:tcMar>
            <w:vAlign w:val="top"/>
          </w:tcPr>
          <w:p>
            <w:pPr>
              <w:spacing w:before="0" w:after="0"/>
            </w:pPr>
            <w:r>
              <w:rPr>
                <w:rFonts w:ascii="Arial" w:cs="Arial" w:eastAsia="Arial" w:hAnsi="Arial"/>
                <w:b/>
                <w:bCs/>
                <w:color w:val="1A7A8C"/>
                <w:sz w:val="20"/>
                <w:szCs w:val="20"/>
              </w:rPr>
              <w:t xml:space="preserve">Testosterone Cypionate (injection)</w:t>
            </w:r>
          </w:p>
        </w:tc>
        <w:tc>
          <w:tcPr>
            <w:tcW w:type="dxa" w:w="1500"/>
            <w:tcBorders>
              <w:top w:val="single" w:color="BDC3C7" w:sz="1"/>
              <w:left w:val="single" w:color="BDC3C7" w:sz="1"/>
              <w:bottom w:val="single" w:color="BDC3C7" w:sz="1"/>
              <w:right w:val="single" w:color="BDC3C7" w:sz="1"/>
            </w:tcBorders>
            <w:shd w:fill="FFFFFF" w:val="clear"/>
            <w:tcMar>
              <w:top w:type="dxa" w:w="70"/>
              <w:left w:type="dxa" w:w="120"/>
              <w:bottom w:type="dxa" w:w="70"/>
              <w:right w:type="dxa" w:w="80"/>
            </w:tcMar>
            <w:vAlign w:val="top"/>
          </w:tcPr>
          <w:p>
            <w:pPr>
              <w:spacing w:before="0" w:after="0"/>
            </w:pPr>
            <w:r>
              <w:rPr>
                <w:rFonts w:ascii="Arial" w:cs="Arial" w:eastAsia="Arial" w:hAnsi="Arial"/>
                <w:b w:val="false"/>
                <w:bCs w:val="false"/>
                <w:color w:val="1A1A2E"/>
                <w:sz w:val="20"/>
                <w:szCs w:val="20"/>
              </w:rPr>
              <w:t xml:space="preserve">Intramuscular (IM)</w:t>
            </w:r>
          </w:p>
        </w:tc>
        <w:tc>
          <w:tcPr>
            <w:tcW w:type="dxa" w:w="1500"/>
            <w:tcBorders>
              <w:top w:val="single" w:color="BDC3C7" w:sz="1"/>
              <w:left w:val="single" w:color="BDC3C7" w:sz="1"/>
              <w:bottom w:val="single" w:color="BDC3C7" w:sz="1"/>
              <w:right w:val="single" w:color="BDC3C7" w:sz="1"/>
            </w:tcBorders>
            <w:shd w:fill="FFFFFF" w:val="clear"/>
            <w:tcMar>
              <w:top w:type="dxa" w:w="70"/>
              <w:left w:type="dxa" w:w="120"/>
              <w:bottom w:type="dxa" w:w="70"/>
              <w:right w:type="dxa" w:w="80"/>
            </w:tcMar>
            <w:vAlign w:val="top"/>
          </w:tcPr>
          <w:p>
            <w:pPr>
              <w:spacing w:before="0" w:after="0"/>
            </w:pPr>
            <w:r>
              <w:rPr>
                <w:rFonts w:ascii="Arial" w:cs="Arial" w:eastAsia="Arial" w:hAnsi="Arial"/>
                <w:b w:val="false"/>
                <w:bCs w:val="false"/>
                <w:color w:val="1A1A2E"/>
                <w:sz w:val="20"/>
                <w:szCs w:val="20"/>
              </w:rPr>
              <w:t xml:space="preserve">Weekly or twice weekly</w:t>
            </w:r>
          </w:p>
        </w:tc>
        <w:tc>
          <w:tcPr>
            <w:tcW w:type="dxa" w:w="3760"/>
            <w:tcBorders>
              <w:top w:val="single" w:color="BDC3C7" w:sz="1"/>
              <w:left w:val="single" w:color="BDC3C7" w:sz="1"/>
              <w:bottom w:val="single" w:color="BDC3C7" w:sz="1"/>
              <w:right w:val="single" w:color="BDC3C7" w:sz="1"/>
            </w:tcBorders>
            <w:shd w:fill="FFFFFF" w:val="clear"/>
            <w:tcMar>
              <w:top w:type="dxa" w:w="70"/>
              <w:left w:type="dxa" w:w="120"/>
              <w:bottom w:type="dxa" w:w="70"/>
              <w:right w:type="dxa" w:w="80"/>
            </w:tcMar>
            <w:vAlign w:val="top"/>
          </w:tcPr>
          <w:p>
            <w:pPr>
              <w:spacing w:before="0" w:after="0"/>
            </w:pPr>
            <w:r>
              <w:rPr>
                <w:rFonts w:ascii="Arial" w:cs="Arial" w:eastAsia="Arial" w:hAnsi="Arial"/>
                <w:b w:val="false"/>
                <w:bCs w:val="false"/>
                <w:color w:val="1A1A2E"/>
                <w:sz w:val="20"/>
                <w:szCs w:val="20"/>
              </w:rPr>
              <w:t xml:space="preserve">Primary testosterone replacement — raises testosterone to normal range</w:t>
            </w:r>
          </w:p>
        </w:tc>
      </w:tr>
      <w:tr>
        <w:tc>
          <w:tcPr>
            <w:tcW w:type="dxa" w:w="2600"/>
            <w:tcBorders>
              <w:top w:val="single" w:color="BDC3C7" w:sz="1"/>
              <w:left w:val="single" w:color="BDC3C7" w:sz="1"/>
              <w:bottom w:val="single" w:color="BDC3C7" w:sz="1"/>
              <w:right w:val="single" w:color="BDC3C7" w:sz="1"/>
            </w:tcBorders>
            <w:shd w:fill="F4F6F8" w:val="clear"/>
            <w:tcMar>
              <w:top w:type="dxa" w:w="70"/>
              <w:left w:type="dxa" w:w="120"/>
              <w:bottom w:type="dxa" w:w="70"/>
              <w:right w:type="dxa" w:w="80"/>
            </w:tcMar>
            <w:vAlign w:val="top"/>
          </w:tcPr>
          <w:p>
            <w:pPr>
              <w:spacing w:before="0" w:after="0"/>
            </w:pPr>
            <w:r>
              <w:rPr>
                <w:rFonts w:ascii="Arial" w:cs="Arial" w:eastAsia="Arial" w:hAnsi="Arial"/>
                <w:b/>
                <w:bCs/>
                <w:color w:val="1A7A8C"/>
                <w:sz w:val="20"/>
                <w:szCs w:val="20"/>
              </w:rPr>
              <w:t xml:space="preserve">Topical Testosterone (gel/cream)</w:t>
            </w:r>
          </w:p>
        </w:tc>
        <w:tc>
          <w:tcPr>
            <w:tcW w:type="dxa" w:w="1500"/>
            <w:tcBorders>
              <w:top w:val="single" w:color="BDC3C7" w:sz="1"/>
              <w:left w:val="single" w:color="BDC3C7" w:sz="1"/>
              <w:bottom w:val="single" w:color="BDC3C7" w:sz="1"/>
              <w:right w:val="single" w:color="BDC3C7" w:sz="1"/>
            </w:tcBorders>
            <w:shd w:fill="F4F6F8" w:val="clear"/>
            <w:tcMar>
              <w:top w:type="dxa" w:w="70"/>
              <w:left w:type="dxa" w:w="120"/>
              <w:bottom w:type="dxa" w:w="70"/>
              <w:right w:type="dxa" w:w="80"/>
            </w:tcMar>
            <w:vAlign w:val="top"/>
          </w:tcPr>
          <w:p>
            <w:pPr>
              <w:spacing w:before="0" w:after="0"/>
            </w:pPr>
            <w:r>
              <w:rPr>
                <w:rFonts w:ascii="Arial" w:cs="Arial" w:eastAsia="Arial" w:hAnsi="Arial"/>
                <w:b w:val="false"/>
                <w:bCs w:val="false"/>
                <w:color w:val="1A1A2E"/>
                <w:sz w:val="20"/>
                <w:szCs w:val="20"/>
              </w:rPr>
              <w:t xml:space="preserve">Topical (skin)</w:t>
            </w:r>
          </w:p>
        </w:tc>
        <w:tc>
          <w:tcPr>
            <w:tcW w:type="dxa" w:w="1500"/>
            <w:tcBorders>
              <w:top w:val="single" w:color="BDC3C7" w:sz="1"/>
              <w:left w:val="single" w:color="BDC3C7" w:sz="1"/>
              <w:bottom w:val="single" w:color="BDC3C7" w:sz="1"/>
              <w:right w:val="single" w:color="BDC3C7" w:sz="1"/>
            </w:tcBorders>
            <w:shd w:fill="F4F6F8" w:val="clear"/>
            <w:tcMar>
              <w:top w:type="dxa" w:w="70"/>
              <w:left w:type="dxa" w:w="120"/>
              <w:bottom w:type="dxa" w:w="70"/>
              <w:right w:type="dxa" w:w="80"/>
            </w:tcMar>
            <w:vAlign w:val="top"/>
          </w:tcPr>
          <w:p>
            <w:pPr>
              <w:spacing w:before="0" w:after="0"/>
            </w:pPr>
            <w:r>
              <w:rPr>
                <w:rFonts w:ascii="Arial" w:cs="Arial" w:eastAsia="Arial" w:hAnsi="Arial"/>
                <w:b w:val="false"/>
                <w:bCs w:val="false"/>
                <w:color w:val="1A1A2E"/>
                <w:sz w:val="20"/>
                <w:szCs w:val="20"/>
              </w:rPr>
              <w:t xml:space="preserve">Daily</w:t>
            </w:r>
          </w:p>
        </w:tc>
        <w:tc>
          <w:tcPr>
            <w:tcW w:type="dxa" w:w="3760"/>
            <w:tcBorders>
              <w:top w:val="single" w:color="BDC3C7" w:sz="1"/>
              <w:left w:val="single" w:color="BDC3C7" w:sz="1"/>
              <w:bottom w:val="single" w:color="BDC3C7" w:sz="1"/>
              <w:right w:val="single" w:color="BDC3C7" w:sz="1"/>
            </w:tcBorders>
            <w:shd w:fill="F4F6F8" w:val="clear"/>
            <w:tcMar>
              <w:top w:type="dxa" w:w="70"/>
              <w:left w:type="dxa" w:w="120"/>
              <w:bottom w:type="dxa" w:w="70"/>
              <w:right w:type="dxa" w:w="80"/>
            </w:tcMar>
            <w:vAlign w:val="top"/>
          </w:tcPr>
          <w:p>
            <w:pPr>
              <w:spacing w:before="0" w:after="0"/>
            </w:pPr>
            <w:r>
              <w:rPr>
                <w:rFonts w:ascii="Arial" w:cs="Arial" w:eastAsia="Arial" w:hAnsi="Arial"/>
                <w:b w:val="false"/>
                <w:bCs w:val="false"/>
                <w:color w:val="1A1A2E"/>
                <w:sz w:val="20"/>
                <w:szCs w:val="20"/>
              </w:rPr>
              <w:t xml:space="preserve">Primary testosterone replacement for patients who prefer to avoid injections</w:t>
            </w:r>
          </w:p>
        </w:tc>
      </w:tr>
      <w:tr>
        <w:tc>
          <w:tcPr>
            <w:tcW w:type="dxa" w:w="2600"/>
            <w:tcBorders>
              <w:top w:val="single" w:color="BDC3C7" w:sz="1"/>
              <w:left w:val="single" w:color="BDC3C7" w:sz="1"/>
              <w:bottom w:val="single" w:color="BDC3C7" w:sz="1"/>
              <w:right w:val="single" w:color="BDC3C7" w:sz="1"/>
            </w:tcBorders>
            <w:shd w:fill="FFFFFF" w:val="clear"/>
            <w:tcMar>
              <w:top w:type="dxa" w:w="70"/>
              <w:left w:type="dxa" w:w="120"/>
              <w:bottom w:type="dxa" w:w="70"/>
              <w:right w:type="dxa" w:w="80"/>
            </w:tcMar>
            <w:vAlign w:val="top"/>
          </w:tcPr>
          <w:p>
            <w:pPr>
              <w:spacing w:before="0" w:after="0"/>
            </w:pPr>
            <w:r>
              <w:rPr>
                <w:rFonts w:ascii="Arial" w:cs="Arial" w:eastAsia="Arial" w:hAnsi="Arial"/>
                <w:b/>
                <w:bCs/>
                <w:color w:val="1A7A8C"/>
                <w:sz w:val="20"/>
                <w:szCs w:val="20"/>
              </w:rPr>
              <w:t xml:space="preserve">Anastrozole</w:t>
            </w:r>
          </w:p>
        </w:tc>
        <w:tc>
          <w:tcPr>
            <w:tcW w:type="dxa" w:w="1500"/>
            <w:tcBorders>
              <w:top w:val="single" w:color="BDC3C7" w:sz="1"/>
              <w:left w:val="single" w:color="BDC3C7" w:sz="1"/>
              <w:bottom w:val="single" w:color="BDC3C7" w:sz="1"/>
              <w:right w:val="single" w:color="BDC3C7" w:sz="1"/>
            </w:tcBorders>
            <w:shd w:fill="FFFFFF" w:val="clear"/>
            <w:tcMar>
              <w:top w:type="dxa" w:w="70"/>
              <w:left w:type="dxa" w:w="120"/>
              <w:bottom w:type="dxa" w:w="70"/>
              <w:right w:type="dxa" w:w="80"/>
            </w:tcMar>
            <w:vAlign w:val="top"/>
          </w:tcPr>
          <w:p>
            <w:pPr>
              <w:spacing w:before="0" w:after="0"/>
            </w:pPr>
            <w:r>
              <w:rPr>
                <w:rFonts w:ascii="Arial" w:cs="Arial" w:eastAsia="Arial" w:hAnsi="Arial"/>
                <w:b w:val="false"/>
                <w:bCs w:val="false"/>
                <w:color w:val="1A1A2E"/>
                <w:sz w:val="20"/>
                <w:szCs w:val="20"/>
              </w:rPr>
              <w:t xml:space="preserve">Oral tablet</w:t>
            </w:r>
          </w:p>
        </w:tc>
        <w:tc>
          <w:tcPr>
            <w:tcW w:type="dxa" w:w="1500"/>
            <w:tcBorders>
              <w:top w:val="single" w:color="BDC3C7" w:sz="1"/>
              <w:left w:val="single" w:color="BDC3C7" w:sz="1"/>
              <w:bottom w:val="single" w:color="BDC3C7" w:sz="1"/>
              <w:right w:val="single" w:color="BDC3C7" w:sz="1"/>
            </w:tcBorders>
            <w:shd w:fill="FFFFFF" w:val="clear"/>
            <w:tcMar>
              <w:top w:type="dxa" w:w="70"/>
              <w:left w:type="dxa" w:w="120"/>
              <w:bottom w:type="dxa" w:w="70"/>
              <w:right w:type="dxa" w:w="80"/>
            </w:tcMar>
            <w:vAlign w:val="top"/>
          </w:tcPr>
          <w:p>
            <w:pPr>
              <w:spacing w:before="0" w:after="0"/>
            </w:pPr>
            <w:r>
              <w:rPr>
                <w:rFonts w:ascii="Arial" w:cs="Arial" w:eastAsia="Arial" w:hAnsi="Arial"/>
                <w:b w:val="false"/>
                <w:bCs w:val="false"/>
                <w:color w:val="1A1A2E"/>
                <w:sz w:val="20"/>
                <w:szCs w:val="20"/>
              </w:rPr>
              <w:t xml:space="preserve">Weekly or twice weekly</w:t>
            </w:r>
          </w:p>
        </w:tc>
        <w:tc>
          <w:tcPr>
            <w:tcW w:type="dxa" w:w="3760"/>
            <w:tcBorders>
              <w:top w:val="single" w:color="BDC3C7" w:sz="1"/>
              <w:left w:val="single" w:color="BDC3C7" w:sz="1"/>
              <w:bottom w:val="single" w:color="BDC3C7" w:sz="1"/>
              <w:right w:val="single" w:color="BDC3C7" w:sz="1"/>
            </w:tcBorders>
            <w:shd w:fill="FFFFFF" w:val="clear"/>
            <w:tcMar>
              <w:top w:type="dxa" w:w="70"/>
              <w:left w:type="dxa" w:w="120"/>
              <w:bottom w:type="dxa" w:w="70"/>
              <w:right w:type="dxa" w:w="80"/>
            </w:tcMar>
            <w:vAlign w:val="top"/>
          </w:tcPr>
          <w:p>
            <w:pPr>
              <w:spacing w:before="0" w:after="0"/>
            </w:pPr>
            <w:r>
              <w:rPr>
                <w:rFonts w:ascii="Arial" w:cs="Arial" w:eastAsia="Arial" w:hAnsi="Arial"/>
                <w:b w:val="false"/>
                <w:bCs w:val="false"/>
                <w:color w:val="1A1A2E"/>
                <w:sz w:val="20"/>
                <w:szCs w:val="20"/>
              </w:rPr>
              <w:t xml:space="preserve">Reduces excess estrogen conversion from testosterone therapy</w:t>
            </w:r>
          </w:p>
        </w:tc>
      </w:tr>
      <w:tr>
        <w:tc>
          <w:tcPr>
            <w:tcW w:type="dxa" w:w="2600"/>
            <w:tcBorders>
              <w:top w:val="single" w:color="BDC3C7" w:sz="1"/>
              <w:left w:val="single" w:color="BDC3C7" w:sz="1"/>
              <w:bottom w:val="single" w:color="BDC3C7" w:sz="1"/>
              <w:right w:val="single" w:color="BDC3C7" w:sz="1"/>
            </w:tcBorders>
            <w:shd w:fill="F4F6F8" w:val="clear"/>
            <w:tcMar>
              <w:top w:type="dxa" w:w="70"/>
              <w:left w:type="dxa" w:w="120"/>
              <w:bottom w:type="dxa" w:w="70"/>
              <w:right w:type="dxa" w:w="80"/>
            </w:tcMar>
            <w:vAlign w:val="top"/>
          </w:tcPr>
          <w:p>
            <w:pPr>
              <w:spacing w:before="0" w:after="0"/>
            </w:pPr>
            <w:r>
              <w:rPr>
                <w:rFonts w:ascii="Arial" w:cs="Arial" w:eastAsia="Arial" w:hAnsi="Arial"/>
                <w:b/>
                <w:bCs/>
                <w:color w:val="1A7A8C"/>
                <w:sz w:val="20"/>
                <w:szCs w:val="20"/>
              </w:rPr>
              <w:t xml:space="preserve">Human Chorionic Gonadotropin (hCG)</w:t>
            </w:r>
          </w:p>
        </w:tc>
        <w:tc>
          <w:tcPr>
            <w:tcW w:type="dxa" w:w="1500"/>
            <w:tcBorders>
              <w:top w:val="single" w:color="BDC3C7" w:sz="1"/>
              <w:left w:val="single" w:color="BDC3C7" w:sz="1"/>
              <w:bottom w:val="single" w:color="BDC3C7" w:sz="1"/>
              <w:right w:val="single" w:color="BDC3C7" w:sz="1"/>
            </w:tcBorders>
            <w:shd w:fill="F4F6F8" w:val="clear"/>
            <w:tcMar>
              <w:top w:type="dxa" w:w="70"/>
              <w:left w:type="dxa" w:w="120"/>
              <w:bottom w:type="dxa" w:w="70"/>
              <w:right w:type="dxa" w:w="80"/>
            </w:tcMar>
            <w:vAlign w:val="top"/>
          </w:tcPr>
          <w:p>
            <w:pPr>
              <w:spacing w:before="0" w:after="0"/>
            </w:pPr>
            <w:r>
              <w:rPr>
                <w:rFonts w:ascii="Arial" w:cs="Arial" w:eastAsia="Arial" w:hAnsi="Arial"/>
                <w:b w:val="false"/>
                <w:bCs w:val="false"/>
                <w:color w:val="1A1A2E"/>
                <w:sz w:val="20"/>
                <w:szCs w:val="20"/>
              </w:rPr>
              <w:t xml:space="preserve">Subcutaneous (SQ)</w:t>
            </w:r>
          </w:p>
        </w:tc>
        <w:tc>
          <w:tcPr>
            <w:tcW w:type="dxa" w:w="1500"/>
            <w:tcBorders>
              <w:top w:val="single" w:color="BDC3C7" w:sz="1"/>
              <w:left w:val="single" w:color="BDC3C7" w:sz="1"/>
              <w:bottom w:val="single" w:color="BDC3C7" w:sz="1"/>
              <w:right w:val="single" w:color="BDC3C7" w:sz="1"/>
            </w:tcBorders>
            <w:shd w:fill="F4F6F8" w:val="clear"/>
            <w:tcMar>
              <w:top w:type="dxa" w:w="70"/>
              <w:left w:type="dxa" w:w="120"/>
              <w:bottom w:type="dxa" w:w="70"/>
              <w:right w:type="dxa" w:w="80"/>
            </w:tcMar>
            <w:vAlign w:val="top"/>
          </w:tcPr>
          <w:p>
            <w:pPr>
              <w:spacing w:before="0" w:after="0"/>
            </w:pPr>
            <w:r>
              <w:rPr>
                <w:rFonts w:ascii="Arial" w:cs="Arial" w:eastAsia="Arial" w:hAnsi="Arial"/>
                <w:b w:val="false"/>
                <w:bCs w:val="false"/>
                <w:color w:val="1A1A2E"/>
                <w:sz w:val="20"/>
                <w:szCs w:val="20"/>
              </w:rPr>
              <w:t xml:space="preserve">Weekly (with breaks)</w:t>
            </w:r>
          </w:p>
        </w:tc>
        <w:tc>
          <w:tcPr>
            <w:tcW w:type="dxa" w:w="3760"/>
            <w:tcBorders>
              <w:top w:val="single" w:color="BDC3C7" w:sz="1"/>
              <w:left w:val="single" w:color="BDC3C7" w:sz="1"/>
              <w:bottom w:val="single" w:color="BDC3C7" w:sz="1"/>
              <w:right w:val="single" w:color="BDC3C7" w:sz="1"/>
            </w:tcBorders>
            <w:shd w:fill="F4F6F8" w:val="clear"/>
            <w:tcMar>
              <w:top w:type="dxa" w:w="70"/>
              <w:left w:type="dxa" w:w="120"/>
              <w:bottom w:type="dxa" w:w="70"/>
              <w:right w:type="dxa" w:w="80"/>
            </w:tcMar>
            <w:vAlign w:val="top"/>
          </w:tcPr>
          <w:p>
            <w:pPr>
              <w:spacing w:before="0" w:after="0"/>
            </w:pPr>
            <w:r>
              <w:rPr>
                <w:rFonts w:ascii="Arial" w:cs="Arial" w:eastAsia="Arial" w:hAnsi="Arial"/>
                <w:b w:val="false"/>
                <w:bCs w:val="false"/>
                <w:color w:val="1A1A2E"/>
                <w:sz w:val="20"/>
                <w:szCs w:val="20"/>
              </w:rPr>
              <w:t xml:space="preserve">Preserves testicular function and size during testosterone therapy</w:t>
            </w:r>
          </w:p>
        </w:tc>
      </w:tr>
      <w:tr>
        <w:tc>
          <w:tcPr>
            <w:tcW w:type="dxa" w:w="2600"/>
            <w:tcBorders>
              <w:top w:val="single" w:color="BDC3C7" w:sz="1"/>
              <w:left w:val="single" w:color="BDC3C7" w:sz="1"/>
              <w:bottom w:val="single" w:color="BDC3C7" w:sz="1"/>
              <w:right w:val="single" w:color="BDC3C7" w:sz="1"/>
            </w:tcBorders>
            <w:shd w:fill="FFFFFF" w:val="clear"/>
            <w:tcMar>
              <w:top w:type="dxa" w:w="70"/>
              <w:left w:type="dxa" w:w="120"/>
              <w:bottom w:type="dxa" w:w="70"/>
              <w:right w:type="dxa" w:w="80"/>
            </w:tcMar>
            <w:vAlign w:val="top"/>
          </w:tcPr>
          <w:p>
            <w:pPr>
              <w:spacing w:before="0" w:after="0"/>
            </w:pPr>
            <w:r>
              <w:rPr>
                <w:rFonts w:ascii="Arial" w:cs="Arial" w:eastAsia="Arial" w:hAnsi="Arial"/>
                <w:b/>
                <w:bCs/>
                <w:color w:val="1A7A8C"/>
                <w:sz w:val="20"/>
                <w:szCs w:val="20"/>
              </w:rPr>
              <w:t xml:space="preserve">Clomiphene Citrate (Clomid)</w:t>
            </w:r>
          </w:p>
        </w:tc>
        <w:tc>
          <w:tcPr>
            <w:tcW w:type="dxa" w:w="1500"/>
            <w:tcBorders>
              <w:top w:val="single" w:color="BDC3C7" w:sz="1"/>
              <w:left w:val="single" w:color="BDC3C7" w:sz="1"/>
              <w:bottom w:val="single" w:color="BDC3C7" w:sz="1"/>
              <w:right w:val="single" w:color="BDC3C7" w:sz="1"/>
            </w:tcBorders>
            <w:shd w:fill="FFFFFF" w:val="clear"/>
            <w:tcMar>
              <w:top w:type="dxa" w:w="70"/>
              <w:left w:type="dxa" w:w="120"/>
              <w:bottom w:type="dxa" w:w="70"/>
              <w:right w:type="dxa" w:w="80"/>
            </w:tcMar>
            <w:vAlign w:val="top"/>
          </w:tcPr>
          <w:p>
            <w:pPr>
              <w:spacing w:before="0" w:after="0"/>
            </w:pPr>
            <w:r>
              <w:rPr>
                <w:rFonts w:ascii="Arial" w:cs="Arial" w:eastAsia="Arial" w:hAnsi="Arial"/>
                <w:b w:val="false"/>
                <w:bCs w:val="false"/>
                <w:color w:val="1A1A2E"/>
                <w:sz w:val="20"/>
                <w:szCs w:val="20"/>
              </w:rPr>
              <w:t xml:space="preserve">Oral tablet</w:t>
            </w:r>
          </w:p>
        </w:tc>
        <w:tc>
          <w:tcPr>
            <w:tcW w:type="dxa" w:w="1500"/>
            <w:tcBorders>
              <w:top w:val="single" w:color="BDC3C7" w:sz="1"/>
              <w:left w:val="single" w:color="BDC3C7" w:sz="1"/>
              <w:bottom w:val="single" w:color="BDC3C7" w:sz="1"/>
              <w:right w:val="single" w:color="BDC3C7" w:sz="1"/>
            </w:tcBorders>
            <w:shd w:fill="FFFFFF" w:val="clear"/>
            <w:tcMar>
              <w:top w:type="dxa" w:w="70"/>
              <w:left w:type="dxa" w:w="120"/>
              <w:bottom w:type="dxa" w:w="70"/>
              <w:right w:type="dxa" w:w="80"/>
            </w:tcMar>
            <w:vAlign w:val="top"/>
          </w:tcPr>
          <w:p>
            <w:pPr>
              <w:spacing w:before="0" w:after="0"/>
            </w:pPr>
            <w:r>
              <w:rPr>
                <w:rFonts w:ascii="Arial" w:cs="Arial" w:eastAsia="Arial" w:hAnsi="Arial"/>
                <w:b w:val="false"/>
                <w:bCs w:val="false"/>
                <w:color w:val="1A1A2E"/>
                <w:sz w:val="20"/>
                <w:szCs w:val="20"/>
              </w:rPr>
              <w:t xml:space="preserve">Daily or alternate days</w:t>
            </w:r>
          </w:p>
        </w:tc>
        <w:tc>
          <w:tcPr>
            <w:tcW w:type="dxa" w:w="3760"/>
            <w:tcBorders>
              <w:top w:val="single" w:color="BDC3C7" w:sz="1"/>
              <w:left w:val="single" w:color="BDC3C7" w:sz="1"/>
              <w:bottom w:val="single" w:color="BDC3C7" w:sz="1"/>
              <w:right w:val="single" w:color="BDC3C7" w:sz="1"/>
            </w:tcBorders>
            <w:shd w:fill="FFFFFF" w:val="clear"/>
            <w:tcMar>
              <w:top w:type="dxa" w:w="70"/>
              <w:left w:type="dxa" w:w="120"/>
              <w:bottom w:type="dxa" w:w="70"/>
              <w:right w:type="dxa" w:w="80"/>
            </w:tcMar>
            <w:vAlign w:val="top"/>
          </w:tcPr>
          <w:p>
            <w:pPr>
              <w:spacing w:before="0" w:after="0"/>
            </w:pPr>
            <w:r>
              <w:rPr>
                <w:rFonts w:ascii="Arial" w:cs="Arial" w:eastAsia="Arial" w:hAnsi="Arial"/>
                <w:b w:val="false"/>
                <w:bCs w:val="false"/>
                <w:color w:val="1A1A2E"/>
                <w:sz w:val="20"/>
                <w:szCs w:val="20"/>
              </w:rPr>
              <w:t xml:space="preserve">Stimulates the body’s own testosterone production — preserves fertility</w:t>
            </w:r>
          </w:p>
        </w:tc>
      </w:tr>
      <w:tr>
        <w:tc>
          <w:tcPr>
            <w:tcW w:type="dxa" w:w="2600"/>
            <w:tcBorders>
              <w:top w:val="single" w:color="BDC3C7" w:sz="1"/>
              <w:left w:val="single" w:color="BDC3C7" w:sz="1"/>
              <w:bottom w:val="single" w:color="BDC3C7" w:sz="1"/>
              <w:right w:val="single" w:color="BDC3C7" w:sz="1"/>
            </w:tcBorders>
            <w:shd w:fill="F4F6F8" w:val="clear"/>
            <w:tcMar>
              <w:top w:type="dxa" w:w="70"/>
              <w:left w:type="dxa" w:w="120"/>
              <w:bottom w:type="dxa" w:w="70"/>
              <w:right w:type="dxa" w:w="80"/>
            </w:tcMar>
            <w:vAlign w:val="top"/>
          </w:tcPr>
          <w:p>
            <w:pPr>
              <w:spacing w:before="0" w:after="0"/>
            </w:pPr>
            <w:r>
              <w:rPr>
                <w:rFonts w:ascii="Arial" w:cs="Arial" w:eastAsia="Arial" w:hAnsi="Arial"/>
                <w:b/>
                <w:bCs/>
                <w:color w:val="1A7A8C"/>
                <w:sz w:val="20"/>
                <w:szCs w:val="20"/>
              </w:rPr>
              <w:t xml:space="preserve">Enclomiphene</w:t>
            </w:r>
          </w:p>
        </w:tc>
        <w:tc>
          <w:tcPr>
            <w:tcW w:type="dxa" w:w="1500"/>
            <w:tcBorders>
              <w:top w:val="single" w:color="BDC3C7" w:sz="1"/>
              <w:left w:val="single" w:color="BDC3C7" w:sz="1"/>
              <w:bottom w:val="single" w:color="BDC3C7" w:sz="1"/>
              <w:right w:val="single" w:color="BDC3C7" w:sz="1"/>
            </w:tcBorders>
            <w:shd w:fill="F4F6F8" w:val="clear"/>
            <w:tcMar>
              <w:top w:type="dxa" w:w="70"/>
              <w:left w:type="dxa" w:w="120"/>
              <w:bottom w:type="dxa" w:w="70"/>
              <w:right w:type="dxa" w:w="80"/>
            </w:tcMar>
            <w:vAlign w:val="top"/>
          </w:tcPr>
          <w:p>
            <w:pPr>
              <w:spacing w:before="0" w:after="0"/>
            </w:pPr>
            <w:r>
              <w:rPr>
                <w:rFonts w:ascii="Arial" w:cs="Arial" w:eastAsia="Arial" w:hAnsi="Arial"/>
                <w:b w:val="false"/>
                <w:bCs w:val="false"/>
                <w:color w:val="1A1A2E"/>
                <w:sz w:val="20"/>
                <w:szCs w:val="20"/>
              </w:rPr>
              <w:t xml:space="preserve">Oral tablet</w:t>
            </w:r>
          </w:p>
        </w:tc>
        <w:tc>
          <w:tcPr>
            <w:tcW w:type="dxa" w:w="1500"/>
            <w:tcBorders>
              <w:top w:val="single" w:color="BDC3C7" w:sz="1"/>
              <w:left w:val="single" w:color="BDC3C7" w:sz="1"/>
              <w:bottom w:val="single" w:color="BDC3C7" w:sz="1"/>
              <w:right w:val="single" w:color="BDC3C7" w:sz="1"/>
            </w:tcBorders>
            <w:shd w:fill="F4F6F8" w:val="clear"/>
            <w:tcMar>
              <w:top w:type="dxa" w:w="70"/>
              <w:left w:type="dxa" w:w="120"/>
              <w:bottom w:type="dxa" w:w="70"/>
              <w:right w:type="dxa" w:w="80"/>
            </w:tcMar>
            <w:vAlign w:val="top"/>
          </w:tcPr>
          <w:p>
            <w:pPr>
              <w:spacing w:before="0" w:after="0"/>
            </w:pPr>
            <w:r>
              <w:rPr>
                <w:rFonts w:ascii="Arial" w:cs="Arial" w:eastAsia="Arial" w:hAnsi="Arial"/>
                <w:b w:val="false"/>
                <w:bCs w:val="false"/>
                <w:color w:val="1A1A2E"/>
                <w:sz w:val="20"/>
                <w:szCs w:val="20"/>
              </w:rPr>
              <w:t xml:space="preserve">Daily</w:t>
            </w:r>
          </w:p>
        </w:tc>
        <w:tc>
          <w:tcPr>
            <w:tcW w:type="dxa" w:w="3760"/>
            <w:tcBorders>
              <w:top w:val="single" w:color="BDC3C7" w:sz="1"/>
              <w:left w:val="single" w:color="BDC3C7" w:sz="1"/>
              <w:bottom w:val="single" w:color="BDC3C7" w:sz="1"/>
              <w:right w:val="single" w:color="BDC3C7" w:sz="1"/>
            </w:tcBorders>
            <w:shd w:fill="F4F6F8" w:val="clear"/>
            <w:tcMar>
              <w:top w:type="dxa" w:w="70"/>
              <w:left w:type="dxa" w:w="120"/>
              <w:bottom w:type="dxa" w:w="70"/>
              <w:right w:type="dxa" w:w="80"/>
            </w:tcMar>
            <w:vAlign w:val="top"/>
          </w:tcPr>
          <w:p>
            <w:pPr>
              <w:spacing w:before="0" w:after="0"/>
            </w:pPr>
            <w:r>
              <w:rPr>
                <w:rFonts w:ascii="Arial" w:cs="Arial" w:eastAsia="Arial" w:hAnsi="Arial"/>
                <w:b w:val="false"/>
                <w:bCs w:val="false"/>
                <w:color w:val="1A1A2E"/>
                <w:sz w:val="20"/>
                <w:szCs w:val="20"/>
              </w:rPr>
              <w:t xml:space="preserve">Stimulates endogenous testosterone production with potentially fewer side effects than clomiphene</w:t>
            </w:r>
          </w:p>
        </w:tc>
      </w:tr>
    </w:tbl>
    <w:p>
      <w:pPr>
        <w:spacing w:before="0" w:after="120"/>
      </w:pPr>
    </w:p>
    <w:p>
      <w:pPr>
        <w:spacing w:before="20" w:after="100"/>
      </w:pPr>
      <w:r>
        <w:rPr>
          <w:rFonts w:ascii="Arial" w:cs="Arial" w:eastAsia="Arial" w:hAnsi="Arial"/>
          <w:color w:val="1A1A2E"/>
          <w:sz w:val="22"/>
          <w:szCs w:val="22"/>
        </w:rPr>
        <w:t xml:space="preserve">The option of no treatment is always available. If you choose not to treat your testosterone deficiency, your clinician can discuss what to expect and how to monitor your health over time.</w:t>
      </w:r>
    </w:p>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3a.  Costs, Pricing Plans &amp; Insurance Coverage</w:t>
            </w:r>
          </w:p>
        </w:tc>
      </w:tr>
    </w:tbl>
    <w:p>
      <w:pPr>
        <w:spacing w:before="0" w:after="160"/>
      </w:pPr>
    </w:p>
    <w:p>
      <w:pPr>
        <w:spacing w:before="20" w:after="100"/>
      </w:pPr>
      <w:r>
        <w:rPr>
          <w:rFonts w:ascii="Arial" w:cs="Arial" w:eastAsia="Arial" w:hAnsi="Arial"/>
          <w:color w:val="1A1A2E"/>
          <w:sz w:val="22"/>
          <w:szCs w:val="22"/>
        </w:rPr>
        <w:t xml:space="preserve">Understanding what your care will cost is an important part of informed consent. This section explains Revive’s pricing plans, what is and is not covered by insurance, and what you can expect to pay depending on your treatment.</w:t>
      </w:r>
    </w:p>
    <w:p>
      <w:pPr>
        <w:spacing w:before="0" w:after="120"/>
      </w:pPr>
    </w:p>
    <w:tbl>
      <w:tblPr>
        <w:tblW w:type="dxa" w:w="9360"/>
        <w:tblBorders>
          <w:top w:val="none" w:color="FFFFFF" w:sz="0"/>
          <w:left w:val="single" w:color="1A7A8C"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AF4F8" w:val="clear"/>
            <w:tcMar>
              <w:top w:type="dxa" w:w="60"/>
              <w:left w:type="dxa" w:w="140"/>
              <w:bottom w:type="dxa" w:w="0"/>
              <w:right w:type="dxa" w:w="140"/>
            </w:tcMar>
          </w:tcPr>
          <w:p>
            <w:pPr>
              <w:spacing w:before="0" w:after="40"/>
            </w:pPr>
            <w:r>
              <w:rPr>
                <w:rFonts w:ascii="Arial" w:cs="Arial" w:eastAsia="Arial" w:hAnsi="Arial"/>
                <w:b/>
                <w:bCs/>
                <w:color w:val="1A7A8C"/>
                <w:sz w:val="20"/>
                <w:szCs w:val="20"/>
              </w:rPr>
              <w:t xml:space="preserve">How Revive Billing Works</w:t>
            </w:r>
          </w:p>
        </w:tc>
      </w:tr>
      <w:tr>
        <w:tc>
          <w:tcPr>
            <w:tcW w:type="dxa" w:w="9360"/>
            <w:tcBorders>
              <w:top w:val="none" w:color="FFFFFF" w:sz="0"/>
              <w:left w:val="none" w:color="FFFFFF" w:sz="0"/>
              <w:bottom w:val="none" w:color="FFFFFF" w:sz="0"/>
              <w:right w:val="none" w:color="FFFFFF" w:sz="0"/>
            </w:tcBorders>
            <w:shd w:fill="EAF4F8"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Revive is a cash-pay clinic for office visits and lab fees — paid directly to Revive at time of service. The significant insurance benefit is on the medication side: Revive sends prescriptions to your local pharmacy (not mail-order or compounding) where your insurance covers FDA-approved testosterone at typically $0–30/month. Standard and Complete plan members have insurance pharmacy billing handled by Revive.</w:t>
            </w:r>
          </w:p>
        </w:tc>
      </w:tr>
    </w:tbl>
    <w:p>
      <w:pPr>
        <w:spacing w:before="0" w:after="160"/>
      </w:pPr>
    </w:p>
    <w:p>
      <w:pPr>
        <w:pStyle w:val="Heading2"/>
        <w:spacing w:before="120" w:after="80"/>
      </w:pPr>
      <w:r>
        <w:rPr>
          <w:rFonts w:ascii="Arial" w:cs="Arial" w:eastAsia="Arial" w:hAnsi="Arial"/>
          <w:b/>
          <w:bCs/>
          <w:color w:val="1A7A8C"/>
          <w:sz w:val="24"/>
          <w:szCs w:val="24"/>
        </w:rPr>
        <w:t xml:space="preserve">First Visit — $99 (All Plans)</w:t>
      </w:r>
    </w:p>
    <w:p>
      <w:pPr>
        <w:spacing w:before="20" w:after="100"/>
      </w:pPr>
      <w:r>
        <w:rPr>
          <w:rFonts w:ascii="Arial" w:cs="Arial" w:eastAsia="Arial" w:hAnsi="Arial"/>
          <w:color w:val="1A1A2E"/>
          <w:sz w:val="22"/>
          <w:szCs w:val="22"/>
        </w:rPr>
        <w:t xml:space="preserve">Every plan starts with the same $99 first visit, which includes:</w:t>
      </w:r>
    </w:p>
    <w:p>
      <w:pPr>
        <w:spacing w:before="0" w:after="80"/>
      </w:pPr>
    </w:p>
    <w:p>
      <w:pPr>
        <w:pStyle w:val="ListParagraph"/>
        <w:numPr>
          <w:ilvl w:val="0"/>
          <w:numId w:val="2"/>
        </w:numPr>
        <w:spacing w:before="20" w:after="60"/>
      </w:pPr>
      <w:r>
        <w:rPr>
          <w:rFonts w:ascii="Arial" w:cs="Arial" w:eastAsia="Arial" w:hAnsi="Arial"/>
          <w:color w:val="1A1A2E"/>
          <w:sz w:val="22"/>
          <w:szCs w:val="22"/>
        </w:rPr>
        <w:t xml:space="preserve">Full physician consultation and physical exam</w:t>
      </w:r>
    </w:p>
    <w:p>
      <w:pPr>
        <w:pStyle w:val="ListParagraph"/>
        <w:numPr>
          <w:ilvl w:val="0"/>
          <w:numId w:val="2"/>
        </w:numPr>
        <w:spacing w:before="20" w:after="60"/>
      </w:pPr>
      <w:r>
        <w:rPr>
          <w:rFonts w:ascii="Arial" w:cs="Arial" w:eastAsia="Arial" w:hAnsi="Arial"/>
          <w:color w:val="1A1A2E"/>
          <w:sz w:val="22"/>
          <w:szCs w:val="22"/>
        </w:rPr>
        <w:t xml:space="preserve">51-analyte comprehensive lab panel: hormones, CBC, metabolic panel, lipids, liver, iron, thyroid, HbA1c, PSA, and Vitamin D — all drawn at the same visit</w:t>
      </w:r>
    </w:p>
    <w:p>
      <w:pPr>
        <w:pStyle w:val="ListParagraph"/>
        <w:numPr>
          <w:ilvl w:val="0"/>
          <w:numId w:val="2"/>
        </w:numPr>
        <w:spacing w:before="20" w:after="60"/>
      </w:pPr>
      <w:r>
        <w:rPr>
          <w:rFonts w:ascii="Arial" w:cs="Arial" w:eastAsia="Arial" w:hAnsi="Arial"/>
          <w:color w:val="1A1A2E"/>
          <w:sz w:val="22"/>
          <w:szCs w:val="22"/>
        </w:rPr>
        <w:t xml:space="preserve">In-person injection training with the care team at no additional charge</w:t>
      </w:r>
    </w:p>
    <w:p>
      <w:pPr>
        <w:spacing w:before="0" w:after="200"/>
      </w:pPr>
    </w:p>
    <w:p>
      <w:pPr>
        <w:pStyle w:val="Heading2"/>
        <w:spacing w:before="120" w:after="80"/>
      </w:pPr>
      <w:r>
        <w:rPr>
          <w:rFonts w:ascii="Arial" w:cs="Arial" w:eastAsia="Arial" w:hAnsi="Arial"/>
          <w:b/>
          <w:bCs/>
          <w:color w:val="1A7A8C"/>
          <w:sz w:val="24"/>
          <w:szCs w:val="24"/>
        </w:rPr>
        <w:t xml:space="preserve">Membership Plans</w:t>
      </w:r>
    </w:p>
    <w:p>
      <w:pPr>
        <w:spacing w:before="20" w:after="100"/>
      </w:pPr>
      <w:r>
        <w:rPr>
          <w:rFonts w:ascii="Arial" w:cs="Arial" w:eastAsia="Arial" w:hAnsi="Arial"/>
          <w:color w:val="1A1A2E"/>
          <w:sz w:val="22"/>
          <w:szCs w:val="22"/>
        </w:rPr>
        <w:t xml:space="preserve">Choose the plan that fits your lifestyle. All plans start with the same $99 first visit.</w:t>
      </w:r>
    </w:p>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200"/>
        <w:gridCol w:w="2220"/>
        <w:gridCol w:w="2440"/>
      </w:tblGrid>
      <w:tr>
        <w:tc>
          <w:tcPr>
            <w:tcW w:type="dxa" w:w="2500"/>
            <w:tcBorders>
              <w:top w:val="single" w:color="1B3A6B" w:sz="1"/>
              <w:left w:val="single" w:color="1B3A6B" w:sz="1"/>
              <w:bottom w:val="single" w:color="1B3A6B" w:sz="1"/>
              <w:right w:val="single" w:color="1B3A6B" w:sz="1"/>
            </w:tcBorders>
            <w:shd w:fill="1B3A6B" w:val="clear"/>
            <w:tcMar>
              <w:top w:type="dxa" w:w="80"/>
              <w:left w:type="dxa" w:w="100"/>
              <w:bottom w:type="dxa" w:w="80"/>
              <w:right w:type="dxa" w:w="80"/>
            </w:tcMar>
          </w:tcPr>
          <w:p>
            <w:pPr>
              <w:spacing w:before="0" w:after="0"/>
              <w:jc w:val="center"/>
            </w:pPr>
            <w:r>
              <w:rPr>
                <w:rFonts w:ascii="Arial" w:cs="Arial" w:eastAsia="Arial" w:hAnsi="Arial"/>
                <w:b/>
                <w:bCs/>
                <w:color w:val="FFFFFF"/>
                <w:sz w:val="19"/>
                <w:szCs w:val="19"/>
              </w:rPr>
              <w:t xml:space="preserve"/>
            </w:r>
          </w:p>
        </w:tc>
        <w:tc>
          <w:tcPr>
            <w:tcW w:type="dxa" w:w="2200"/>
            <w:tcBorders>
              <w:top w:val="single" w:color="1A7A8C" w:sz="1"/>
              <w:left w:val="single" w:color="1A7A8C" w:sz="1"/>
              <w:bottom w:val="single" w:color="1A7A8C" w:sz="1"/>
              <w:right w:val="single" w:color="1A7A8C" w:sz="1"/>
            </w:tcBorders>
            <w:shd w:fill="1A7A8C" w:val="clear"/>
            <w:tcMar>
              <w:top w:type="dxa" w:w="80"/>
              <w:left w:type="dxa" w:w="100"/>
              <w:bottom w:type="dxa" w:w="80"/>
              <w:right w:type="dxa" w:w="80"/>
            </w:tcMar>
          </w:tcPr>
          <w:p>
            <w:pPr>
              <w:spacing w:before="0" w:after="0"/>
              <w:jc w:val="center"/>
            </w:pPr>
            <w:r>
              <w:rPr>
                <w:rFonts w:ascii="Arial" w:cs="Arial" w:eastAsia="Arial" w:hAnsi="Arial"/>
                <w:b/>
                <w:bCs/>
                <w:color w:val="FFFFFF"/>
                <w:sz w:val="19"/>
                <w:szCs w:val="19"/>
              </w:rPr>
              <w:t xml:space="preserve">Standard</w:t>
            </w:r>
          </w:p>
        </w:tc>
        <w:tc>
          <w:tcPr>
            <w:tcW w:type="dxa" w:w="2220"/>
            <w:tcBorders>
              <w:top w:val="single" w:color="1B3A6B" w:sz="1"/>
              <w:left w:val="single" w:color="1B3A6B" w:sz="1"/>
              <w:bottom w:val="single" w:color="1B3A6B" w:sz="1"/>
              <w:right w:val="single" w:color="1B3A6B" w:sz="1"/>
            </w:tcBorders>
            <w:shd w:fill="1B3A6B" w:val="clear"/>
            <w:tcMar>
              <w:top w:type="dxa" w:w="80"/>
              <w:left w:type="dxa" w:w="100"/>
              <w:bottom w:type="dxa" w:w="80"/>
              <w:right w:type="dxa" w:w="80"/>
            </w:tcMar>
          </w:tcPr>
          <w:p>
            <w:pPr>
              <w:spacing w:before="0" w:after="0"/>
              <w:jc w:val="center"/>
            </w:pPr>
            <w:r>
              <w:rPr>
                <w:rFonts w:ascii="Arial" w:cs="Arial" w:eastAsia="Arial" w:hAnsi="Arial"/>
                <w:b/>
                <w:bCs/>
                <w:color w:val="FFFFFF"/>
                <w:sz w:val="19"/>
                <w:szCs w:val="19"/>
              </w:rPr>
              <w:t xml:space="preserve">Essential</w:t>
            </w:r>
          </w:p>
        </w:tc>
        <w:tc>
          <w:tcPr>
            <w:tcW w:type="dxa" w:w="2440"/>
            <w:tcBorders>
              <w:top w:val="single" w:color="1B3A6B" w:sz="1"/>
              <w:left w:val="single" w:color="1B3A6B" w:sz="1"/>
              <w:bottom w:val="single" w:color="1B3A6B" w:sz="1"/>
              <w:right w:val="single" w:color="1B3A6B" w:sz="1"/>
            </w:tcBorders>
            <w:shd w:fill="1B3A6B" w:val="clear"/>
            <w:tcMar>
              <w:top w:type="dxa" w:w="80"/>
              <w:left w:type="dxa" w:w="100"/>
              <w:bottom w:type="dxa" w:w="80"/>
              <w:right w:type="dxa" w:w="80"/>
            </w:tcMar>
          </w:tcPr>
          <w:p>
            <w:pPr>
              <w:spacing w:before="0" w:after="0"/>
              <w:jc w:val="center"/>
            </w:pPr>
            <w:r>
              <w:rPr>
                <w:rFonts w:ascii="Arial" w:cs="Arial" w:eastAsia="Arial" w:hAnsi="Arial"/>
                <w:b/>
                <w:bCs/>
                <w:color w:val="FFFFFF"/>
                <w:sz w:val="19"/>
                <w:szCs w:val="19"/>
              </w:rPr>
              <w:t xml:space="preserve">Complete</w:t>
            </w:r>
          </w:p>
        </w:tc>
      </w:tr>
      <w:tr>
        <w:tc>
          <w:tcPr>
            <w:tcW w:type="dxa" w:w="25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bCs/>
                <w:color w:val="1B3A6B"/>
                <w:sz w:val="19"/>
                <w:szCs w:val="19"/>
              </w:rPr>
              <w:t xml:space="preserve">Monthly membership fee</w:t>
            </w:r>
          </w:p>
        </w:tc>
        <w:tc>
          <w:tcPr>
            <w:tcW w:type="dxa" w:w="22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center"/>
            </w:pPr>
            <w:r>
              <w:rPr>
                <w:rFonts w:ascii="Arial" w:cs="Arial" w:eastAsia="Arial" w:hAnsi="Arial"/>
                <w:b w:val="false"/>
                <w:bCs w:val="false"/>
                <w:color w:val="1A1A2E"/>
                <w:sz w:val="19"/>
                <w:szCs w:val="19"/>
              </w:rPr>
              <w:t xml:space="preserve">$35/mo + per-visit</w:t>
            </w:r>
          </w:p>
        </w:tc>
        <w:tc>
          <w:tcPr>
            <w:tcW w:type="dxa" w:w="222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center"/>
            </w:pPr>
            <w:r>
              <w:rPr>
                <w:rFonts w:ascii="Arial" w:cs="Arial" w:eastAsia="Arial" w:hAnsi="Arial"/>
                <w:b w:val="false"/>
                <w:bCs w:val="false"/>
                <w:color w:val="1A1A2E"/>
                <w:sz w:val="19"/>
                <w:szCs w:val="19"/>
              </w:rPr>
              <w:t xml:space="preserve">$99/mo flat</w:t>
            </w:r>
          </w:p>
        </w:tc>
        <w:tc>
          <w:tcPr>
            <w:tcW w:type="dxa" w:w="244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center"/>
            </w:pPr>
            <w:r>
              <w:rPr>
                <w:rFonts w:ascii="Arial" w:cs="Arial" w:eastAsia="Arial" w:hAnsi="Arial"/>
                <w:b w:val="false"/>
                <w:bCs w:val="false"/>
                <w:color w:val="1A1A2E"/>
                <w:sz w:val="19"/>
                <w:szCs w:val="19"/>
              </w:rPr>
              <w:t xml:space="preserve">$269/mo</w:t>
            </w:r>
          </w:p>
        </w:tc>
      </w:tr>
      <w:tr>
        <w:tc>
          <w:tcPr>
            <w:tcW w:type="dxa" w:w="25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bCs/>
                <w:color w:val="1B3A6B"/>
                <w:sz w:val="19"/>
                <w:szCs w:val="19"/>
              </w:rPr>
              <w:t xml:space="preserve">Annual prepay savings</w:t>
            </w:r>
          </w:p>
        </w:tc>
        <w:tc>
          <w:tcPr>
            <w:tcW w:type="dxa" w:w="22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jc w:val="center"/>
            </w:pPr>
            <w:r>
              <w:rPr>
                <w:rFonts w:ascii="Arial" w:cs="Arial" w:eastAsia="Arial" w:hAnsi="Arial"/>
                <w:b w:val="false"/>
                <w:bCs w:val="false"/>
                <w:color w:val="1A1A2E"/>
                <w:sz w:val="19"/>
                <w:szCs w:val="19"/>
              </w:rPr>
              <w:t xml:space="preserve">5% off membership</w:t>
            </w:r>
          </w:p>
        </w:tc>
        <w:tc>
          <w:tcPr>
            <w:tcW w:type="dxa" w:w="222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jc w:val="center"/>
            </w:pPr>
            <w:r>
              <w:rPr>
                <w:rFonts w:ascii="Arial" w:cs="Arial" w:eastAsia="Arial" w:hAnsi="Arial"/>
                <w:b w:val="false"/>
                <w:bCs w:val="false"/>
                <w:color w:val="1A1A2E"/>
                <w:sz w:val="19"/>
                <w:szCs w:val="19"/>
              </w:rPr>
              <w:t xml:space="preserve">10% off total</w:t>
            </w:r>
          </w:p>
        </w:tc>
        <w:tc>
          <w:tcPr>
            <w:tcW w:type="dxa" w:w="244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jc w:val="center"/>
            </w:pPr>
            <w:r>
              <w:rPr>
                <w:rFonts w:ascii="Arial" w:cs="Arial" w:eastAsia="Arial" w:hAnsi="Arial"/>
                <w:b w:val="false"/>
                <w:bCs w:val="false"/>
                <w:color w:val="1A1A2E"/>
                <w:sz w:val="19"/>
                <w:szCs w:val="19"/>
              </w:rPr>
              <w:t xml:space="preserve">2 months free (pay 10, get 12)</w:t>
            </w:r>
          </w:p>
        </w:tc>
      </w:tr>
      <w:tr>
        <w:tc>
          <w:tcPr>
            <w:tcW w:type="dxa" w:w="25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bCs/>
                <w:color w:val="1B3A6B"/>
                <w:sz w:val="19"/>
                <w:szCs w:val="19"/>
              </w:rPr>
              <w:t xml:space="preserve">Estimated Year 1 total</w:t>
            </w:r>
          </w:p>
        </w:tc>
        <w:tc>
          <w:tcPr>
            <w:tcW w:type="dxa" w:w="22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center"/>
            </w:pPr>
            <w:r>
              <w:rPr>
                <w:rFonts w:ascii="Arial" w:cs="Arial" w:eastAsia="Arial" w:hAnsi="Arial"/>
                <w:b w:val="false"/>
                <w:bCs w:val="false"/>
                <w:color w:val="1A1A2E"/>
                <w:sz w:val="19"/>
                <w:szCs w:val="19"/>
              </w:rPr>
              <w:t xml:space="preserve">~$2,650</w:t>
            </w:r>
          </w:p>
        </w:tc>
        <w:tc>
          <w:tcPr>
            <w:tcW w:type="dxa" w:w="222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center"/>
            </w:pPr>
            <w:r>
              <w:rPr>
                <w:rFonts w:ascii="Arial" w:cs="Arial" w:eastAsia="Arial" w:hAnsi="Arial"/>
                <w:b w:val="false"/>
                <w:bCs w:val="false"/>
                <w:color w:val="1A1A2E"/>
                <w:sz w:val="19"/>
                <w:szCs w:val="19"/>
              </w:rPr>
              <w:t xml:space="preserve">~$1,287</w:t>
            </w:r>
          </w:p>
        </w:tc>
        <w:tc>
          <w:tcPr>
            <w:tcW w:type="dxa" w:w="244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center"/>
            </w:pPr>
            <w:r>
              <w:rPr>
                <w:rFonts w:ascii="Arial" w:cs="Arial" w:eastAsia="Arial" w:hAnsi="Arial"/>
                <w:b w:val="false"/>
                <w:bCs w:val="false"/>
                <w:color w:val="1A1A2E"/>
                <w:sz w:val="19"/>
                <w:szCs w:val="19"/>
              </w:rPr>
              <w:t xml:space="preserve">~$3,327</w:t>
            </w:r>
          </w:p>
        </w:tc>
      </w:tr>
      <w:tr>
        <w:tc>
          <w:tcPr>
            <w:tcW w:type="dxa" w:w="25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bCs/>
                <w:color w:val="1B3A6B"/>
                <w:sz w:val="19"/>
                <w:szCs w:val="19"/>
              </w:rPr>
              <w:t xml:space="preserve">Estimated Year 2+ total</w:t>
            </w:r>
          </w:p>
        </w:tc>
        <w:tc>
          <w:tcPr>
            <w:tcW w:type="dxa" w:w="22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jc w:val="center"/>
            </w:pPr>
            <w:r>
              <w:rPr>
                <w:rFonts w:ascii="Arial" w:cs="Arial" w:eastAsia="Arial" w:hAnsi="Arial"/>
                <w:b w:val="false"/>
                <w:bCs w:val="false"/>
                <w:color w:val="1A1A2E"/>
                <w:sz w:val="19"/>
                <w:szCs w:val="19"/>
              </w:rPr>
              <w:t xml:space="preserve">~$1,452/yr (~$121/mo)</w:t>
            </w:r>
          </w:p>
        </w:tc>
        <w:tc>
          <w:tcPr>
            <w:tcW w:type="dxa" w:w="222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jc w:val="center"/>
            </w:pPr>
            <w:r>
              <w:rPr>
                <w:rFonts w:ascii="Arial" w:cs="Arial" w:eastAsia="Arial" w:hAnsi="Arial"/>
                <w:b w:val="false"/>
                <w:bCs w:val="false"/>
                <w:color w:val="1A1A2E"/>
                <w:sz w:val="19"/>
                <w:szCs w:val="19"/>
              </w:rPr>
              <w:t xml:space="preserve">~$1,188/yr (~$99/mo)</w:t>
            </w:r>
          </w:p>
        </w:tc>
        <w:tc>
          <w:tcPr>
            <w:tcW w:type="dxa" w:w="244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jc w:val="center"/>
            </w:pPr>
            <w:r>
              <w:rPr>
                <w:rFonts w:ascii="Arial" w:cs="Arial" w:eastAsia="Arial" w:hAnsi="Arial"/>
                <w:b w:val="false"/>
                <w:bCs w:val="false"/>
                <w:color w:val="1A1A2E"/>
                <w:sz w:val="19"/>
                <w:szCs w:val="19"/>
              </w:rPr>
              <w:t xml:space="preserve">~$3,228/yr</w:t>
            </w:r>
          </w:p>
        </w:tc>
      </w:tr>
      <w:tr>
        <w:tc>
          <w:tcPr>
            <w:tcW w:type="dxa" w:w="25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bCs/>
                <w:color w:val="1B3A6B"/>
                <w:sz w:val="19"/>
                <w:szCs w:val="19"/>
              </w:rPr>
              <w:t xml:space="preserve">In-person visits per year</w:t>
            </w:r>
          </w:p>
        </w:tc>
        <w:tc>
          <w:tcPr>
            <w:tcW w:type="dxa" w:w="22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center"/>
            </w:pPr>
            <w:r>
              <w:rPr>
                <w:rFonts w:ascii="Arial" w:cs="Arial" w:eastAsia="Arial" w:hAnsi="Arial"/>
                <w:b w:val="false"/>
                <w:bCs w:val="false"/>
                <w:color w:val="1A1A2E"/>
                <w:sz w:val="19"/>
                <w:szCs w:val="19"/>
              </w:rPr>
              <w:t xml:space="preserve">4 (Yr 1); 2 (Yr 2+) — billed per visit</w:t>
            </w:r>
          </w:p>
        </w:tc>
        <w:tc>
          <w:tcPr>
            <w:tcW w:type="dxa" w:w="222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center"/>
            </w:pPr>
            <w:r>
              <w:rPr>
                <w:rFonts w:ascii="Arial" w:cs="Arial" w:eastAsia="Arial" w:hAnsi="Arial"/>
                <w:b w:val="false"/>
                <w:bCs w:val="false"/>
                <w:color w:val="1A1A2E"/>
                <w:sz w:val="19"/>
                <w:szCs w:val="19"/>
              </w:rPr>
              <w:t xml:space="preserve">1 annual + 2 telehealth</w:t>
            </w:r>
          </w:p>
        </w:tc>
        <w:tc>
          <w:tcPr>
            <w:tcW w:type="dxa" w:w="244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center"/>
            </w:pPr>
            <w:r>
              <w:rPr>
                <w:rFonts w:ascii="Arial" w:cs="Arial" w:eastAsia="Arial" w:hAnsi="Arial"/>
                <w:b w:val="false"/>
                <w:bCs w:val="false"/>
                <w:color w:val="1A1A2E"/>
                <w:sz w:val="19"/>
                <w:szCs w:val="19"/>
              </w:rPr>
              <w:t xml:space="preserve">4 + priority scheduling</w:t>
            </w:r>
          </w:p>
        </w:tc>
      </w:tr>
      <w:tr>
        <w:tc>
          <w:tcPr>
            <w:tcW w:type="dxa" w:w="25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bCs/>
                <w:color w:val="1B3A6B"/>
                <w:sz w:val="19"/>
                <w:szCs w:val="19"/>
              </w:rPr>
              <w:t xml:space="preserve">Follow-up labs</w:t>
            </w:r>
          </w:p>
        </w:tc>
        <w:tc>
          <w:tcPr>
            <w:tcW w:type="dxa" w:w="22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jc w:val="center"/>
            </w:pPr>
            <w:r>
              <w:rPr>
                <w:rFonts w:ascii="Arial" w:cs="Arial" w:eastAsia="Arial" w:hAnsi="Arial"/>
                <w:b w:val="false"/>
                <w:bCs w:val="false"/>
                <w:color w:val="1A1A2E"/>
                <w:sz w:val="19"/>
                <w:szCs w:val="19"/>
              </w:rPr>
              <w:t xml:space="preserve">Billed per visit ($159–$217)</w:t>
            </w:r>
          </w:p>
        </w:tc>
        <w:tc>
          <w:tcPr>
            <w:tcW w:type="dxa" w:w="222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jc w:val="center"/>
            </w:pPr>
            <w:r>
              <w:rPr>
                <w:rFonts w:ascii="Arial" w:cs="Arial" w:eastAsia="Arial" w:hAnsi="Arial"/>
                <w:b w:val="false"/>
                <w:bCs w:val="false"/>
                <w:color w:val="1A1A2E"/>
                <w:sz w:val="19"/>
                <w:szCs w:val="19"/>
              </w:rPr>
              <w:t xml:space="preserve">Basic panel included</w:t>
            </w:r>
          </w:p>
        </w:tc>
        <w:tc>
          <w:tcPr>
            <w:tcW w:type="dxa" w:w="244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jc w:val="center"/>
            </w:pPr>
            <w:r>
              <w:rPr>
                <w:rFonts w:ascii="Arial" w:cs="Arial" w:eastAsia="Arial" w:hAnsi="Arial"/>
                <w:b w:val="false"/>
                <w:bCs w:val="false"/>
                <w:color w:val="1A1A2E"/>
                <w:sz w:val="19"/>
                <w:szCs w:val="19"/>
              </w:rPr>
              <w:t xml:space="preserve">7-panel + annual comprehensive</w:t>
            </w:r>
          </w:p>
        </w:tc>
      </w:tr>
      <w:tr>
        <w:tc>
          <w:tcPr>
            <w:tcW w:type="dxa" w:w="25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bCs/>
                <w:color w:val="1B3A6B"/>
                <w:sz w:val="19"/>
                <w:szCs w:val="19"/>
              </w:rPr>
              <w:t xml:space="preserve">Insurance pharmacy billing</w:t>
            </w:r>
          </w:p>
        </w:tc>
        <w:tc>
          <w:tcPr>
            <w:tcW w:type="dxa" w:w="22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center"/>
            </w:pPr>
            <w:r>
              <w:rPr>
                <w:rFonts w:ascii="Arial" w:cs="Arial" w:eastAsia="Arial" w:hAnsi="Arial"/>
                <w:b w:val="false"/>
                <w:bCs w:val="false"/>
                <w:color w:val="1A1A2E"/>
                <w:sz w:val="19"/>
                <w:szCs w:val="19"/>
              </w:rPr>
              <w:t xml:space="preserve">Included</w:t>
            </w:r>
          </w:p>
        </w:tc>
        <w:tc>
          <w:tcPr>
            <w:tcW w:type="dxa" w:w="222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center"/>
            </w:pPr>
            <w:r>
              <w:rPr>
                <w:rFonts w:ascii="Arial" w:cs="Arial" w:eastAsia="Arial" w:hAnsi="Arial"/>
                <w:b w:val="false"/>
                <w:bCs w:val="false"/>
                <w:color w:val="1A1A2E"/>
                <w:sz w:val="19"/>
                <w:szCs w:val="19"/>
              </w:rPr>
              <w:t xml:space="preserve">Add-on ($25/mo)</w:t>
            </w:r>
          </w:p>
        </w:tc>
        <w:tc>
          <w:tcPr>
            <w:tcW w:type="dxa" w:w="244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center"/>
            </w:pPr>
            <w:r>
              <w:rPr>
                <w:rFonts w:ascii="Arial" w:cs="Arial" w:eastAsia="Arial" w:hAnsi="Arial"/>
                <w:b w:val="false"/>
                <w:bCs w:val="false"/>
                <w:color w:val="1A1A2E"/>
                <w:sz w:val="19"/>
                <w:szCs w:val="19"/>
              </w:rPr>
              <w:t xml:space="preserve">Included</w:t>
            </w:r>
          </w:p>
        </w:tc>
      </w:tr>
      <w:tr>
        <w:tc>
          <w:tcPr>
            <w:tcW w:type="dxa" w:w="25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bCs/>
                <w:color w:val="1B3A6B"/>
                <w:sz w:val="19"/>
                <w:szCs w:val="19"/>
              </w:rPr>
              <w:t xml:space="preserve">hCG protocol if needed</w:t>
            </w:r>
          </w:p>
        </w:tc>
        <w:tc>
          <w:tcPr>
            <w:tcW w:type="dxa" w:w="22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jc w:val="center"/>
            </w:pPr>
            <w:r>
              <w:rPr>
                <w:rFonts w:ascii="Arial" w:cs="Arial" w:eastAsia="Arial" w:hAnsi="Arial"/>
                <w:b w:val="false"/>
                <w:bCs w:val="false"/>
                <w:color w:val="1A1A2E"/>
                <w:sz w:val="19"/>
                <w:szCs w:val="19"/>
              </w:rPr>
              <w:t xml:space="preserve">Included</w:t>
            </w:r>
          </w:p>
        </w:tc>
        <w:tc>
          <w:tcPr>
            <w:tcW w:type="dxa" w:w="222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jc w:val="center"/>
            </w:pPr>
            <w:r>
              <w:rPr>
                <w:rFonts w:ascii="Arial" w:cs="Arial" w:eastAsia="Arial" w:hAnsi="Arial"/>
                <w:b w:val="false"/>
                <w:bCs w:val="false"/>
                <w:color w:val="1A1A2E"/>
                <w:sz w:val="19"/>
                <w:szCs w:val="19"/>
              </w:rPr>
              <w:t xml:space="preserve">Available</w:t>
            </w:r>
          </w:p>
        </w:tc>
        <w:tc>
          <w:tcPr>
            <w:tcW w:type="dxa" w:w="244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jc w:val="center"/>
            </w:pPr>
            <w:r>
              <w:rPr>
                <w:rFonts w:ascii="Arial" w:cs="Arial" w:eastAsia="Arial" w:hAnsi="Arial"/>
                <w:b w:val="false"/>
                <w:bCs w:val="false"/>
                <w:color w:val="1A1A2E"/>
                <w:sz w:val="19"/>
                <w:szCs w:val="19"/>
              </w:rPr>
              <w:t xml:space="preserve">Included</w:t>
            </w:r>
          </w:p>
        </w:tc>
      </w:tr>
      <w:tr>
        <w:tc>
          <w:tcPr>
            <w:tcW w:type="dxa" w:w="25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bCs/>
                <w:color w:val="1B3A6B"/>
                <w:sz w:val="19"/>
                <w:szCs w:val="19"/>
              </w:rPr>
              <w:t xml:space="preserve">FSA / HSA eligible</w:t>
            </w:r>
          </w:p>
        </w:tc>
        <w:tc>
          <w:tcPr>
            <w:tcW w:type="dxa" w:w="22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center"/>
            </w:pPr>
            <w:r>
              <w:rPr>
                <w:rFonts w:ascii="Arial" w:cs="Arial" w:eastAsia="Arial" w:hAnsi="Arial"/>
                <w:b w:val="false"/>
                <w:bCs w:val="false"/>
                <w:color w:val="1A1A2E"/>
                <w:sz w:val="19"/>
                <w:szCs w:val="19"/>
              </w:rPr>
              <w:t xml:space="preserve">Yes</w:t>
            </w:r>
          </w:p>
        </w:tc>
        <w:tc>
          <w:tcPr>
            <w:tcW w:type="dxa" w:w="222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center"/>
            </w:pPr>
            <w:r>
              <w:rPr>
                <w:rFonts w:ascii="Arial" w:cs="Arial" w:eastAsia="Arial" w:hAnsi="Arial"/>
                <w:b w:val="false"/>
                <w:bCs w:val="false"/>
                <w:color w:val="1A1A2E"/>
                <w:sz w:val="19"/>
                <w:szCs w:val="19"/>
              </w:rPr>
              <w:t xml:space="preserve">Yes</w:t>
            </w:r>
          </w:p>
        </w:tc>
        <w:tc>
          <w:tcPr>
            <w:tcW w:type="dxa" w:w="244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jc w:val="center"/>
            </w:pPr>
            <w:r>
              <w:rPr>
                <w:rFonts w:ascii="Arial" w:cs="Arial" w:eastAsia="Arial" w:hAnsi="Arial"/>
                <w:b w:val="false"/>
                <w:bCs w:val="false"/>
                <w:color w:val="1A1A2E"/>
                <w:sz w:val="19"/>
                <w:szCs w:val="19"/>
              </w:rPr>
              <w:t xml:space="preserve">Yes</w:t>
            </w:r>
          </w:p>
        </w:tc>
      </w:tr>
    </w:tbl>
    <w:p>
      <w:pPr>
        <w:spacing w:before="0" w:after="120"/>
      </w:pPr>
    </w:p>
    <w:tbl>
      <w:tblPr>
        <w:tblW w:type="dxa" w:w="9360"/>
        <w:tblBorders>
          <w:top w:val="none" w:color="FFFFFF" w:sz="0"/>
          <w:left w:val="single" w:color="1A7A8C"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AF4F8" w:val="clear"/>
            <w:tcMar>
              <w:top w:type="dxa" w:w="60"/>
              <w:left w:type="dxa" w:w="140"/>
              <w:bottom w:type="dxa" w:w="0"/>
              <w:right w:type="dxa" w:w="140"/>
            </w:tcMar>
          </w:tcPr>
          <w:p>
            <w:pPr>
              <w:spacing w:before="0" w:after="40"/>
            </w:pPr>
            <w:r>
              <w:rPr>
                <w:rFonts w:ascii="Arial" w:cs="Arial" w:eastAsia="Arial" w:hAnsi="Arial"/>
                <w:b/>
                <w:bCs/>
                <w:color w:val="1A7A8C"/>
                <w:sz w:val="20"/>
                <w:szCs w:val="20"/>
              </w:rPr>
              <w:t xml:space="preserve">Not Sure Which Plan?</w:t>
            </w:r>
          </w:p>
        </w:tc>
      </w:tr>
      <w:tr>
        <w:tc>
          <w:tcPr>
            <w:tcW w:type="dxa" w:w="9360"/>
            <w:tcBorders>
              <w:top w:val="none" w:color="FFFFFF" w:sz="0"/>
              <w:left w:val="none" w:color="FFFFFF" w:sz="0"/>
              <w:bottom w:val="none" w:color="FFFFFF" w:sz="0"/>
              <w:right w:val="none" w:color="FFFFFF" w:sz="0"/>
            </w:tcBorders>
            <w:shd w:fill="EAF4F8"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Call 206-960-4770 or ask at your first visit. We will walk through the numbers based on your insurance and treatment. No pressure to decide before you understand the costs.</w:t>
            </w:r>
          </w:p>
        </w:tc>
      </w:tr>
    </w:tbl>
    <w:p>
      <w:pPr>
        <w:spacing w:before="0" w:after="200"/>
      </w:pPr>
    </w:p>
    <w:p>
      <w:pPr>
        <w:pStyle w:val="Heading2"/>
        <w:spacing w:before="120" w:after="80"/>
      </w:pPr>
      <w:r>
        <w:rPr>
          <w:rFonts w:ascii="Arial" w:cs="Arial" w:eastAsia="Arial" w:hAnsi="Arial"/>
          <w:b/>
          <w:bCs/>
          <w:color w:val="1A7A8C"/>
          <w:sz w:val="24"/>
          <w:szCs w:val="24"/>
        </w:rPr>
        <w:t xml:space="preserve">Medication Costs by Treatment</w:t>
      </w:r>
    </w:p>
    <w:p>
      <w:pPr>
        <w:spacing w:before="20" w:after="100"/>
      </w:pPr>
      <w:r>
        <w:rPr>
          <w:rFonts w:ascii="Arial" w:cs="Arial" w:eastAsia="Arial" w:hAnsi="Arial"/>
          <w:color w:val="1A1A2E"/>
          <w:sz w:val="22"/>
          <w:szCs w:val="22"/>
        </w:rPr>
        <w:t xml:space="preserve">Medication is prescribed separately and filled at your chosen pharmacy. Costs vary widely by insurance and medication type:</w:t>
      </w:r>
    </w:p>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840"/>
        <w:gridCol w:w="1840"/>
        <w:gridCol w:w="3280"/>
      </w:tblGrid>
      <w:tr>
        <w:tc>
          <w:tcPr>
            <w:tcW w:type="dxa" w:w="240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pPr>
            <w:r>
              <w:rPr>
                <w:rFonts w:ascii="Arial" w:cs="Arial" w:eastAsia="Arial" w:hAnsi="Arial"/>
                <w:b/>
                <w:bCs/>
                <w:color w:val="FFFFFF"/>
                <w:sz w:val="19"/>
                <w:szCs w:val="19"/>
              </w:rPr>
              <w:t xml:space="preserve">Medication</w:t>
            </w:r>
          </w:p>
        </w:tc>
        <w:tc>
          <w:tcPr>
            <w:tcW w:type="dxa" w:w="184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pPr>
            <w:r>
              <w:rPr>
                <w:rFonts w:ascii="Arial" w:cs="Arial" w:eastAsia="Arial" w:hAnsi="Arial"/>
                <w:b/>
                <w:bCs/>
                <w:color w:val="FFFFFF"/>
                <w:sz w:val="19"/>
                <w:szCs w:val="19"/>
              </w:rPr>
              <w:t xml:space="preserve">With Insurance (est./mo)</w:t>
            </w:r>
          </w:p>
        </w:tc>
        <w:tc>
          <w:tcPr>
            <w:tcW w:type="dxa" w:w="184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pPr>
            <w:r>
              <w:rPr>
                <w:rFonts w:ascii="Arial" w:cs="Arial" w:eastAsia="Arial" w:hAnsi="Arial"/>
                <w:b/>
                <w:bCs/>
                <w:color w:val="FFFFFF"/>
                <w:sz w:val="19"/>
                <w:szCs w:val="19"/>
              </w:rPr>
              <w:t xml:space="preserve">Without Insurance (est./mo)</w:t>
            </w:r>
          </w:p>
        </w:tc>
        <w:tc>
          <w:tcPr>
            <w:tcW w:type="dxa" w:w="328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pPr>
            <w:r>
              <w:rPr>
                <w:rFonts w:ascii="Arial" w:cs="Arial" w:eastAsia="Arial" w:hAnsi="Arial"/>
                <w:b/>
                <w:bCs/>
                <w:color w:val="FFFFFF"/>
                <w:sz w:val="19"/>
                <w:szCs w:val="19"/>
              </w:rPr>
              <w:t xml:space="preserve">Notes</w:t>
            </w:r>
          </w:p>
        </w:tc>
      </w:tr>
      <w:tr>
        <w:tc>
          <w:tcPr>
            <w:tcW w:type="dxa" w:w="24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bCs/>
                <w:color w:val="1A7A8C"/>
                <w:sz w:val="19"/>
                <w:szCs w:val="19"/>
              </w:rPr>
              <w:t xml:space="preserve">Testosterone Cypionate</w:t>
            </w:r>
          </w:p>
        </w:tc>
        <w:tc>
          <w:tcPr>
            <w:tcW w:type="dxa" w:w="184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bCs/>
                <w:color w:val="1A7A44"/>
                <w:sz w:val="19"/>
                <w:szCs w:val="19"/>
              </w:rPr>
              <w:t xml:space="preserve">$0–30/mo</w:t>
            </w:r>
          </w:p>
        </w:tc>
        <w:tc>
          <w:tcPr>
            <w:tcW w:type="dxa" w:w="184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val="false"/>
                <w:bCs w:val="false"/>
                <w:color w:val="1A1A2E"/>
                <w:sz w:val="19"/>
                <w:szCs w:val="19"/>
              </w:rPr>
              <w:t xml:space="preserve">$30–80/mo</w:t>
            </w:r>
          </w:p>
        </w:tc>
        <w:tc>
          <w:tcPr>
            <w:tcW w:type="dxa" w:w="328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val="false"/>
                <w:bCs w:val="false"/>
                <w:color w:val="777777"/>
                <w:sz w:val="19"/>
                <w:szCs w:val="19"/>
              </w:rPr>
              <w:t xml:space="preserve">FDA-approved generic; most insurance plans cover. Revive handles prior auth.</w:t>
            </w:r>
          </w:p>
        </w:tc>
      </w:tr>
      <w:tr>
        <w:tc>
          <w:tcPr>
            <w:tcW w:type="dxa" w:w="24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bCs/>
                <w:color w:val="1A7A8C"/>
                <w:sz w:val="19"/>
                <w:szCs w:val="19"/>
              </w:rPr>
              <w:t xml:space="preserve">Topical Testosterone</w:t>
            </w:r>
          </w:p>
        </w:tc>
        <w:tc>
          <w:tcPr>
            <w:tcW w:type="dxa" w:w="184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bCs/>
                <w:color w:val="1A7A44"/>
                <w:sz w:val="19"/>
                <w:szCs w:val="19"/>
              </w:rPr>
              <w:t xml:space="preserve">$0–60/mo</w:t>
            </w:r>
          </w:p>
        </w:tc>
        <w:tc>
          <w:tcPr>
            <w:tcW w:type="dxa" w:w="184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val="false"/>
                <w:bCs w:val="false"/>
                <w:color w:val="1A1A2E"/>
                <w:sz w:val="19"/>
                <w:szCs w:val="19"/>
              </w:rPr>
              <w:t xml:space="preserve">$50–200/mo</w:t>
            </w:r>
          </w:p>
        </w:tc>
        <w:tc>
          <w:tcPr>
            <w:tcW w:type="dxa" w:w="328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val="false"/>
                <w:bCs w:val="false"/>
                <w:color w:val="777777"/>
                <w:sz w:val="19"/>
                <w:szCs w:val="19"/>
              </w:rPr>
              <w:t xml:space="preserve">Brand formulations cost more; generic availability varies.</w:t>
            </w:r>
          </w:p>
        </w:tc>
      </w:tr>
      <w:tr>
        <w:tc>
          <w:tcPr>
            <w:tcW w:type="dxa" w:w="24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bCs/>
                <w:color w:val="1A7A8C"/>
                <w:sz w:val="19"/>
                <w:szCs w:val="19"/>
              </w:rPr>
              <w:t xml:space="preserve">Anastrozole</w:t>
            </w:r>
          </w:p>
        </w:tc>
        <w:tc>
          <w:tcPr>
            <w:tcW w:type="dxa" w:w="184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bCs/>
                <w:color w:val="D4860A"/>
                <w:sz w:val="19"/>
                <w:szCs w:val="19"/>
              </w:rPr>
              <w:t xml:space="preserve">Often not covered</w:t>
            </w:r>
          </w:p>
        </w:tc>
        <w:tc>
          <w:tcPr>
            <w:tcW w:type="dxa" w:w="184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val="false"/>
                <w:bCs w:val="false"/>
                <w:color w:val="1A1A2E"/>
                <w:sz w:val="19"/>
                <w:szCs w:val="19"/>
              </w:rPr>
              <w:t xml:space="preserve">$15–60/mo</w:t>
            </w:r>
          </w:p>
        </w:tc>
        <w:tc>
          <w:tcPr>
            <w:tcW w:type="dxa" w:w="328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val="false"/>
                <w:bCs w:val="false"/>
                <w:color w:val="777777"/>
                <w:sz w:val="19"/>
                <w:szCs w:val="19"/>
              </w:rPr>
              <w:t xml:space="preserve">Off-label in men; most insurance plans will not cover.</w:t>
            </w:r>
          </w:p>
        </w:tc>
      </w:tr>
      <w:tr>
        <w:tc>
          <w:tcPr>
            <w:tcW w:type="dxa" w:w="24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bCs/>
                <w:color w:val="1A7A8C"/>
                <w:sz w:val="19"/>
                <w:szCs w:val="19"/>
              </w:rPr>
              <w:t xml:space="preserve">hCG</w:t>
            </w:r>
          </w:p>
        </w:tc>
        <w:tc>
          <w:tcPr>
            <w:tcW w:type="dxa" w:w="184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bCs/>
                <w:color w:val="D4860A"/>
                <w:sz w:val="19"/>
                <w:szCs w:val="19"/>
              </w:rPr>
              <w:t xml:space="preserve">Often not covered</w:t>
            </w:r>
          </w:p>
        </w:tc>
        <w:tc>
          <w:tcPr>
            <w:tcW w:type="dxa" w:w="184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val="false"/>
                <w:bCs w:val="false"/>
                <w:color w:val="1A1A2E"/>
                <w:sz w:val="19"/>
                <w:szCs w:val="19"/>
              </w:rPr>
              <w:t xml:space="preserve">$80–200/mo</w:t>
            </w:r>
          </w:p>
        </w:tc>
        <w:tc>
          <w:tcPr>
            <w:tcW w:type="dxa" w:w="328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val="false"/>
                <w:bCs w:val="false"/>
                <w:color w:val="777777"/>
                <w:sz w:val="19"/>
                <w:szCs w:val="19"/>
              </w:rPr>
              <w:t xml:space="preserve">Compounded powder; not FDA-approved for TRT; rarely covered.</w:t>
            </w:r>
          </w:p>
        </w:tc>
      </w:tr>
      <w:tr>
        <w:tc>
          <w:tcPr>
            <w:tcW w:type="dxa" w:w="24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bCs/>
                <w:color w:val="1A7A8C"/>
                <w:sz w:val="19"/>
                <w:szCs w:val="19"/>
              </w:rPr>
              <w:t xml:space="preserve">Clomiphene Citrate</w:t>
            </w:r>
          </w:p>
        </w:tc>
        <w:tc>
          <w:tcPr>
            <w:tcW w:type="dxa" w:w="184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bCs/>
                <w:color w:val="D4860A"/>
                <w:sz w:val="19"/>
                <w:szCs w:val="19"/>
              </w:rPr>
              <w:t xml:space="preserve">Often not covered</w:t>
            </w:r>
          </w:p>
        </w:tc>
        <w:tc>
          <w:tcPr>
            <w:tcW w:type="dxa" w:w="184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val="false"/>
                <w:bCs w:val="false"/>
                <w:color w:val="1A1A2E"/>
                <w:sz w:val="19"/>
                <w:szCs w:val="19"/>
              </w:rPr>
              <w:t xml:space="preserve">$20–60/mo</w:t>
            </w:r>
          </w:p>
        </w:tc>
        <w:tc>
          <w:tcPr>
            <w:tcW w:type="dxa" w:w="328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80"/>
            </w:tcMar>
          </w:tcPr>
          <w:p>
            <w:pPr>
              <w:spacing w:before="0" w:after="0"/>
            </w:pPr>
            <w:r>
              <w:rPr>
                <w:rFonts w:ascii="Arial" w:cs="Arial" w:eastAsia="Arial" w:hAnsi="Arial"/>
                <w:b w:val="false"/>
                <w:bCs w:val="false"/>
                <w:color w:val="777777"/>
                <w:sz w:val="19"/>
                <w:szCs w:val="19"/>
              </w:rPr>
              <w:t xml:space="preserve">Off-label in men; coverage uncommon; inexpensive generic.</w:t>
            </w:r>
          </w:p>
        </w:tc>
      </w:tr>
      <w:tr>
        <w:tc>
          <w:tcPr>
            <w:tcW w:type="dxa" w:w="240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bCs/>
                <w:color w:val="1A7A8C"/>
                <w:sz w:val="19"/>
                <w:szCs w:val="19"/>
              </w:rPr>
              <w:t xml:space="preserve">Enclomiphene</w:t>
            </w:r>
          </w:p>
        </w:tc>
        <w:tc>
          <w:tcPr>
            <w:tcW w:type="dxa" w:w="184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bCs/>
                <w:color w:val="D4860A"/>
                <w:sz w:val="19"/>
                <w:szCs w:val="19"/>
              </w:rPr>
              <w:t xml:space="preserve">Not covered</w:t>
            </w:r>
          </w:p>
        </w:tc>
        <w:tc>
          <w:tcPr>
            <w:tcW w:type="dxa" w:w="184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val="false"/>
                <w:bCs w:val="false"/>
                <w:color w:val="1A1A2E"/>
                <w:sz w:val="19"/>
                <w:szCs w:val="19"/>
              </w:rPr>
              <w:t xml:space="preserve">$60–150/mo</w:t>
            </w:r>
          </w:p>
        </w:tc>
        <w:tc>
          <w:tcPr>
            <w:tcW w:type="dxa" w:w="3280"/>
            <w:tcBorders>
              <w:top w:val="single" w:color="BDC3C7" w:sz="1"/>
              <w:left w:val="single" w:color="BDC3C7" w:sz="1"/>
              <w:bottom w:val="single" w:color="BDC3C7" w:sz="1"/>
              <w:right w:val="single" w:color="BDC3C7" w:sz="1"/>
            </w:tcBorders>
            <w:shd w:fill="F4F6F8" w:val="clear"/>
            <w:tcMar>
              <w:top w:type="dxa" w:w="60"/>
              <w:left w:type="dxa" w:w="100"/>
              <w:bottom w:type="dxa" w:w="60"/>
              <w:right w:type="dxa" w:w="80"/>
            </w:tcMar>
          </w:tcPr>
          <w:p>
            <w:pPr>
              <w:spacing w:before="0" w:after="0"/>
            </w:pPr>
            <w:r>
              <w:rPr>
                <w:rFonts w:ascii="Arial" w:cs="Arial" w:eastAsia="Arial" w:hAnsi="Arial"/>
                <w:b w:val="false"/>
                <w:bCs w:val="false"/>
                <w:color w:val="777777"/>
                <w:sz w:val="19"/>
                <w:szCs w:val="19"/>
              </w:rPr>
              <w:t xml:space="preserve">Not FDA-approved standalone; compounded only; no insurance coverage.</w:t>
            </w:r>
          </w:p>
        </w:tc>
      </w:tr>
    </w:tbl>
    <w:p>
      <w:pPr>
        <w:spacing w:before="0" w:after="120"/>
      </w:pPr>
    </w:p>
    <w:tbl>
      <w:tblPr>
        <w:tblW w:type="dxa" w:w="9360"/>
        <w:tblBorders>
          <w:top w:val="none" w:color="FFFFFF" w:sz="0"/>
          <w:left w:val="single" w:color="D4860A"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EF9E7" w:val="clear"/>
            <w:tcMar>
              <w:top w:type="dxa" w:w="60"/>
              <w:left w:type="dxa" w:w="140"/>
              <w:bottom w:type="dxa" w:w="0"/>
              <w:right w:type="dxa" w:w="140"/>
            </w:tcMar>
          </w:tcPr>
          <w:p>
            <w:pPr>
              <w:spacing w:before="0" w:after="40"/>
            </w:pPr>
            <w:r>
              <w:rPr>
                <w:rFonts w:ascii="Arial" w:cs="Arial" w:eastAsia="Arial" w:hAnsi="Arial"/>
                <w:b/>
                <w:bCs/>
                <w:color w:val="D4860A"/>
                <w:sz w:val="20"/>
                <w:szCs w:val="20"/>
              </w:rPr>
              <w:t xml:space="preserve">Off-Label &amp; Compounded Medications Are Usually Not Covered</w:t>
            </w:r>
          </w:p>
        </w:tc>
      </w:tr>
      <w:tr>
        <w:tc>
          <w:tcPr>
            <w:tcW w:type="dxa" w:w="9360"/>
            <w:tcBorders>
              <w:top w:val="none" w:color="FFFFFF" w:sz="0"/>
              <w:left w:val="none" w:color="FFFFFF" w:sz="0"/>
              <w:bottom w:val="none" w:color="FFFFFF" w:sz="0"/>
              <w:right w:val="none" w:color="FFFFFF" w:sz="0"/>
            </w:tcBorders>
            <w:shd w:fill="FEF9E7"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Anastrozole, clomiphene, and enclomiphene are used off-label in men and are frequently excluded from insurance formularies. hCG and enclomiphene are compounded and almost never covered. If your treatment plan includes these, expect to pay out-of-pocket regardless of your insurance. Your clinician will discuss this before prescribing.</w:t>
            </w:r>
          </w:p>
        </w:tc>
      </w:tr>
    </w:tbl>
    <w:p>
      <w:pPr>
        <w:spacing w:before="0" w:after="200"/>
      </w:pPr>
    </w:p>
    <w:p>
      <w:pPr>
        <w:pStyle w:val="Heading2"/>
        <w:spacing w:before="120" w:after="80"/>
      </w:pPr>
      <w:r>
        <w:rPr>
          <w:rFonts w:ascii="Arial" w:cs="Arial" w:eastAsia="Arial" w:hAnsi="Arial"/>
          <w:b/>
          <w:bCs/>
          <w:color w:val="1A7A8C"/>
          <w:sz w:val="24"/>
          <w:szCs w:val="24"/>
        </w:rPr>
        <w:t xml:space="preserve">Insurance Plans That Typically Cover Testosterone Medication</w:t>
      </w:r>
    </w:p>
    <w:p>
      <w:pPr>
        <w:spacing w:before="20" w:after="100"/>
      </w:pPr>
      <w:r>
        <w:rPr>
          <w:rFonts w:ascii="Arial" w:cs="Arial" w:eastAsia="Arial" w:hAnsi="Arial"/>
          <w:color w:val="1A1A2E"/>
          <w:sz w:val="22"/>
          <w:szCs w:val="22"/>
        </w:rPr>
        <w:t xml:space="preserve">Revive prescribes FDA-approved testosterone to your local pharmacy — Costco, Walgreens, CVS, or any other. This allows your insurance to cover the medication at your standard pharmacy benefit.</w:t>
      </w:r>
    </w:p>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DC3C7" w:sz="1"/>
              <w:left w:val="single" w:color="BDC3C7" w:sz="1"/>
              <w:bottom w:val="single" w:color="BDC3C7" w:sz="1"/>
              <w:right w:val="single" w:color="BDC3C7" w:sz="1"/>
            </w:tcBorders>
            <w:shd w:fill="EAFAF1" w:val="clear"/>
            <w:tcMar>
              <w:top w:type="dxa" w:w="100"/>
              <w:left w:type="dxa" w:w="120"/>
              <w:bottom w:type="dxa" w:w="100"/>
              <w:right w:type="dxa" w:w="120"/>
            </w:tcMar>
          </w:tcPr>
          <w:p>
            <w:pPr>
              <w:spacing w:before="0" w:after="100"/>
            </w:pPr>
            <w:r>
              <w:rPr>
                <w:rFonts w:ascii="Arial" w:cs="Arial" w:eastAsia="Arial" w:hAnsi="Arial"/>
                <w:b/>
                <w:bCs/>
                <w:color w:val="1A7A44"/>
                <w:sz w:val="20"/>
                <w:szCs w:val="20"/>
              </w:rPr>
              <w:t xml:space="preserve">✅  Usually Covered</w:t>
            </w:r>
          </w:p>
          <w:p>
            <w:pPr>
              <w:pStyle w:val="ListParagraph"/>
              <w:numPr>
                <w:ilvl w:val="0"/>
                <w:numId w:val="2"/>
              </w:numPr>
              <w:spacing w:before="0" w:after="60"/>
            </w:pPr>
            <w:r>
              <w:rPr>
                <w:rFonts w:ascii="Arial" w:cs="Arial" w:eastAsia="Arial" w:hAnsi="Arial"/>
                <w:color w:val="1A1A2E"/>
                <w:sz w:val="20"/>
                <w:szCs w:val="20"/>
              </w:rPr>
              <w:t xml:space="preserve">Premera Blue Cross</w:t>
            </w:r>
          </w:p>
          <w:p>
            <w:pPr>
              <w:pStyle w:val="ListParagraph"/>
              <w:numPr>
                <w:ilvl w:val="0"/>
                <w:numId w:val="2"/>
              </w:numPr>
              <w:spacing w:before="0" w:after="60"/>
            </w:pPr>
            <w:r>
              <w:rPr>
                <w:rFonts w:ascii="Arial" w:cs="Arial" w:eastAsia="Arial" w:hAnsi="Arial"/>
                <w:color w:val="1A1A2E"/>
                <w:sz w:val="20"/>
                <w:szCs w:val="20"/>
              </w:rPr>
              <w:t xml:space="preserve">Regence BlueCross BlueShield</w:t>
            </w:r>
          </w:p>
          <w:p>
            <w:pPr>
              <w:pStyle w:val="ListParagraph"/>
              <w:numPr>
                <w:ilvl w:val="0"/>
                <w:numId w:val="2"/>
              </w:numPr>
              <w:spacing w:before="0" w:after="60"/>
            </w:pPr>
            <w:r>
              <w:rPr>
                <w:rFonts w:ascii="Arial" w:cs="Arial" w:eastAsia="Arial" w:hAnsi="Arial"/>
                <w:color w:val="1A1A2E"/>
                <w:sz w:val="20"/>
                <w:szCs w:val="20"/>
              </w:rPr>
              <w:t xml:space="preserve">Aetna</w:t>
            </w:r>
          </w:p>
          <w:p>
            <w:pPr>
              <w:pStyle w:val="ListParagraph"/>
              <w:numPr>
                <w:ilvl w:val="0"/>
                <w:numId w:val="2"/>
              </w:numPr>
              <w:spacing w:before="0" w:after="60"/>
            </w:pPr>
            <w:r>
              <w:rPr>
                <w:rFonts w:ascii="Arial" w:cs="Arial" w:eastAsia="Arial" w:hAnsi="Arial"/>
                <w:color w:val="1A1A2E"/>
                <w:sz w:val="20"/>
                <w:szCs w:val="20"/>
              </w:rPr>
              <w:t xml:space="preserve">UnitedHealthcare</w:t>
            </w:r>
          </w:p>
          <w:p>
            <w:pPr>
              <w:pStyle w:val="ListParagraph"/>
              <w:numPr>
                <w:ilvl w:val="0"/>
                <w:numId w:val="2"/>
              </w:numPr>
              <w:spacing w:before="0" w:after="60"/>
            </w:pPr>
            <w:r>
              <w:rPr>
                <w:rFonts w:ascii="Arial" w:cs="Arial" w:eastAsia="Arial" w:hAnsi="Arial"/>
                <w:color w:val="1A1A2E"/>
                <w:sz w:val="20"/>
                <w:szCs w:val="20"/>
              </w:rPr>
              <w:t xml:space="preserve">Cigna</w:t>
            </w:r>
          </w:p>
          <w:p>
            <w:pPr>
              <w:pStyle w:val="ListParagraph"/>
              <w:numPr>
                <w:ilvl w:val="0"/>
                <w:numId w:val="2"/>
              </w:numPr>
              <w:spacing w:before="0" w:after="60"/>
            </w:pPr>
            <w:r>
              <w:rPr>
                <w:rFonts w:ascii="Arial" w:cs="Arial" w:eastAsia="Arial" w:hAnsi="Arial"/>
                <w:color w:val="1A1A2E"/>
                <w:sz w:val="20"/>
                <w:szCs w:val="20"/>
              </w:rPr>
              <w:t xml:space="preserve">Kaiser Permanente</w:t>
            </w:r>
          </w:p>
          <w:p>
            <w:pPr>
              <w:pStyle w:val="ListParagraph"/>
              <w:numPr>
                <w:ilvl w:val="0"/>
                <w:numId w:val="2"/>
              </w:numPr>
              <w:spacing w:before="0" w:after="60"/>
            </w:pPr>
            <w:r>
              <w:rPr>
                <w:rFonts w:ascii="Arial" w:cs="Arial" w:eastAsia="Arial" w:hAnsi="Arial"/>
                <w:color w:val="1A1A2E"/>
                <w:sz w:val="20"/>
                <w:szCs w:val="20"/>
              </w:rPr>
              <w:t xml:space="preserve">Medicare Part D</w:t>
            </w:r>
          </w:p>
          <w:p>
            <w:pPr>
              <w:pStyle w:val="ListParagraph"/>
              <w:numPr>
                <w:ilvl w:val="0"/>
                <w:numId w:val="2"/>
              </w:numPr>
              <w:spacing w:before="0" w:after="60"/>
            </w:pPr>
            <w:r>
              <w:rPr>
                <w:rFonts w:ascii="Arial" w:cs="Arial" w:eastAsia="Arial" w:hAnsi="Arial"/>
                <w:color w:val="1A1A2E"/>
                <w:sz w:val="20"/>
                <w:szCs w:val="20"/>
              </w:rPr>
              <w:t xml:space="preserve">Most employer-sponsored plans</w:t>
            </w:r>
          </w:p>
        </w:tc>
        <w:tc>
          <w:tcPr>
            <w:tcW w:type="dxa" w:w="4680"/>
            <w:tcBorders>
              <w:top w:val="single" w:color="BDC3C7" w:sz="1"/>
              <w:left w:val="single" w:color="BDC3C7" w:sz="1"/>
              <w:bottom w:val="single" w:color="BDC3C7" w:sz="1"/>
              <w:right w:val="single" w:color="BDC3C7" w:sz="1"/>
            </w:tcBorders>
            <w:shd w:fill="FEF9E7" w:val="clear"/>
            <w:tcMar>
              <w:top w:type="dxa" w:w="100"/>
              <w:left w:type="dxa" w:w="120"/>
              <w:bottom w:type="dxa" w:w="100"/>
              <w:right w:type="dxa" w:w="120"/>
            </w:tcMar>
          </w:tcPr>
          <w:p>
            <w:pPr>
              <w:spacing w:before="0" w:after="100"/>
            </w:pPr>
            <w:r>
              <w:rPr>
                <w:rFonts w:ascii="Arial" w:cs="Arial" w:eastAsia="Arial" w:hAnsi="Arial"/>
                <w:b/>
                <w:bCs/>
                <w:color w:val="D4860A"/>
                <w:sz w:val="20"/>
                <w:szCs w:val="20"/>
              </w:rPr>
              <w:t xml:space="preserve">⚠  May Require Prior Authorisation</w:t>
            </w:r>
          </w:p>
          <w:p>
            <w:pPr>
              <w:pStyle w:val="ListParagraph"/>
              <w:numPr>
                <w:ilvl w:val="0"/>
                <w:numId w:val="2"/>
              </w:numPr>
              <w:spacing w:before="0" w:after="60"/>
            </w:pPr>
            <w:r>
              <w:rPr>
                <w:rFonts w:ascii="Arial" w:cs="Arial" w:eastAsia="Arial" w:hAnsi="Arial"/>
                <w:color w:val="1A1A2E"/>
                <w:sz w:val="20"/>
                <w:szCs w:val="20"/>
              </w:rPr>
              <w:t xml:space="preserve">Some Medicaid plans</w:t>
            </w:r>
          </w:p>
          <w:p>
            <w:pPr>
              <w:pStyle w:val="ListParagraph"/>
              <w:numPr>
                <w:ilvl w:val="0"/>
                <w:numId w:val="2"/>
              </w:numPr>
              <w:spacing w:before="0" w:after="60"/>
            </w:pPr>
            <w:r>
              <w:rPr>
                <w:rFonts w:ascii="Arial" w:cs="Arial" w:eastAsia="Arial" w:hAnsi="Arial"/>
                <w:color w:val="1A1A2E"/>
                <w:sz w:val="20"/>
                <w:szCs w:val="20"/>
              </w:rPr>
              <w:t xml:space="preserve">TRICARE</w:t>
            </w:r>
          </w:p>
          <w:p>
            <w:pPr>
              <w:pStyle w:val="ListParagraph"/>
              <w:numPr>
                <w:ilvl w:val="0"/>
                <w:numId w:val="2"/>
              </w:numPr>
              <w:spacing w:before="0" w:after="60"/>
            </w:pPr>
            <w:r>
              <w:rPr>
                <w:rFonts w:ascii="Arial" w:cs="Arial" w:eastAsia="Arial" w:hAnsi="Arial"/>
                <w:color w:val="1A1A2E"/>
                <w:sz w:val="20"/>
                <w:szCs w:val="20"/>
              </w:rPr>
              <w:t xml:space="preserve">High-deductible health plans (HDHP)</w:t>
            </w:r>
          </w:p>
          <w:p>
            <w:pPr>
              <w:pStyle w:val="ListParagraph"/>
              <w:numPr>
                <w:ilvl w:val="0"/>
                <w:numId w:val="2"/>
              </w:numPr>
              <w:spacing w:before="0" w:after="60"/>
            </w:pPr>
            <w:r>
              <w:rPr>
                <w:rFonts w:ascii="Arial" w:cs="Arial" w:eastAsia="Arial" w:hAnsi="Arial"/>
                <w:color w:val="1A1A2E"/>
                <w:sz w:val="20"/>
                <w:szCs w:val="20"/>
              </w:rPr>
              <w:t xml:space="preserve">Some state exchange / ACA plans</w:t>
            </w:r>
          </w:p>
          <w:p>
            <w:pPr>
              <w:pStyle w:val="ListParagraph"/>
              <w:numPr>
                <w:ilvl w:val="0"/>
                <w:numId w:val="2"/>
              </w:numPr>
              <w:spacing w:before="0" w:after="60"/>
            </w:pPr>
            <w:r>
              <w:rPr>
                <w:rFonts w:ascii="Arial" w:cs="Arial" w:eastAsia="Arial" w:hAnsi="Arial"/>
                <w:color w:val="1A1A2E"/>
                <w:sz w:val="20"/>
                <w:szCs w:val="20"/>
              </w:rPr>
              <w:t xml:space="preserve">Revive handles prior auth on Standard and Complete plans.</w:t>
            </w:r>
          </w:p>
        </w:tc>
      </w:tr>
    </w:tbl>
    <w:p>
      <w:pPr>
        <w:spacing w:before="0" w:after="120"/>
      </w:pPr>
    </w:p>
    <w:tbl>
      <w:tblPr>
        <w:tblW w:type="dxa" w:w="9360"/>
        <w:tblBorders>
          <w:top w:val="none" w:color="FFFFFF" w:sz="0"/>
          <w:left w:val="single" w:color="1A7A8C"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AF4F8" w:val="clear"/>
            <w:tcMar>
              <w:top w:type="dxa" w:w="60"/>
              <w:left w:type="dxa" w:w="140"/>
              <w:bottom w:type="dxa" w:w="0"/>
              <w:right w:type="dxa" w:w="140"/>
            </w:tcMar>
          </w:tcPr>
          <w:p>
            <w:pPr>
              <w:spacing w:before="0" w:after="40"/>
            </w:pPr>
            <w:r>
              <w:rPr>
                <w:rFonts w:ascii="Arial" w:cs="Arial" w:eastAsia="Arial" w:hAnsi="Arial"/>
                <w:b/>
                <w:bCs/>
                <w:color w:val="1A7A8C"/>
                <w:sz w:val="20"/>
                <w:szCs w:val="20"/>
              </w:rPr>
              <w:t xml:space="preserve">No Insurance? Still Affordable</w:t>
            </w:r>
          </w:p>
        </w:tc>
      </w:tr>
      <w:tr>
        <w:tc>
          <w:tcPr>
            <w:tcW w:type="dxa" w:w="9360"/>
            <w:tcBorders>
              <w:top w:val="none" w:color="FFFFFF" w:sz="0"/>
              <w:left w:val="none" w:color="FFFFFF" w:sz="0"/>
              <w:bottom w:val="none" w:color="FFFFFF" w:sz="0"/>
              <w:right w:val="none" w:color="FFFFFF" w:sz="0"/>
            </w:tcBorders>
            <w:shd w:fill="EAF4F8"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Generic testosterone cypionate without insurance typically costs $30–80/month at a local pharmacy — a fraction of the $150–250/month charged by telehealth companies for mail-order compounds. We can help you find pharmacy discount programs such as GoodRx.</w:t>
            </w:r>
          </w:p>
        </w:tc>
      </w:tr>
    </w:tbl>
    <w:p>
      <w:pPr>
        <w:spacing w:before="0" w:after="120"/>
      </w:pPr>
    </w:p>
    <w:tbl>
      <w:tblPr>
        <w:tblW w:type="dxa" w:w="9360"/>
        <w:tblBorders>
          <w:top w:val="none" w:color="FFFFFF" w:sz="0"/>
          <w:left w:val="single" w:color="1A7A8C"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AF4F8" w:val="clear"/>
            <w:tcMar>
              <w:top w:type="dxa" w:w="60"/>
              <w:left w:type="dxa" w:w="140"/>
              <w:bottom w:type="dxa" w:w="0"/>
              <w:right w:type="dxa" w:w="140"/>
            </w:tcMar>
          </w:tcPr>
          <w:p>
            <w:pPr>
              <w:spacing w:before="0" w:after="40"/>
            </w:pPr>
            <w:r>
              <w:rPr>
                <w:rFonts w:ascii="Arial" w:cs="Arial" w:eastAsia="Arial" w:hAnsi="Arial"/>
                <w:b/>
                <w:bCs/>
                <w:color w:val="1A7A8C"/>
                <w:sz w:val="20"/>
                <w:szCs w:val="20"/>
              </w:rPr>
              <w:t xml:space="preserve">FSA / HSA Eligible</w:t>
            </w:r>
          </w:p>
        </w:tc>
      </w:tr>
      <w:tr>
        <w:tc>
          <w:tcPr>
            <w:tcW w:type="dxa" w:w="9360"/>
            <w:tcBorders>
              <w:top w:val="none" w:color="FFFFFF" w:sz="0"/>
              <w:left w:val="none" w:color="FFFFFF" w:sz="0"/>
              <w:bottom w:val="none" w:color="FFFFFF" w:sz="0"/>
              <w:right w:val="none" w:color="FFFFFF" w:sz="0"/>
            </w:tcBorders>
            <w:shd w:fill="EAF4F8"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All Revive costs — plan membership, office visits, lab fees, and medications — qualify for FSA and HSA reimbursement. We provide itemised receipts for your FSA/HSA administrator.</w:t>
            </w:r>
          </w:p>
        </w:tc>
      </w:tr>
    </w:tbl>
    <w:p>
      <w:pPr>
        <w:spacing w:before="0" w:after="120"/>
      </w:pPr>
    </w:p>
    <w:tbl>
      <w:tblPr>
        <w:tblW w:type="dxa" w:w="9360"/>
        <w:tblBorders>
          <w:top w:val="none" w:color="FFFFFF" w:sz="0"/>
          <w:left w:val="single" w:color="D4860A"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EF9E7" w:val="clear"/>
            <w:tcMar>
              <w:top w:type="dxa" w:w="60"/>
              <w:left w:type="dxa" w:w="140"/>
              <w:bottom w:type="dxa" w:w="0"/>
              <w:right w:type="dxa" w:w="140"/>
            </w:tcMar>
          </w:tcPr>
          <w:p>
            <w:pPr>
              <w:spacing w:before="0" w:after="40"/>
            </w:pPr>
            <w:r>
              <w:rPr>
                <w:rFonts w:ascii="Arial" w:cs="Arial" w:eastAsia="Arial" w:hAnsi="Arial"/>
                <w:b/>
                <w:bCs/>
                <w:color w:val="D4860A"/>
                <w:sz w:val="20"/>
                <w:szCs w:val="20"/>
              </w:rPr>
              <w:t xml:space="preserve">These Are Estimates</w:t>
            </w:r>
          </w:p>
        </w:tc>
      </w:tr>
      <w:tr>
        <w:tc>
          <w:tcPr>
            <w:tcW w:type="dxa" w:w="9360"/>
            <w:tcBorders>
              <w:top w:val="none" w:color="FFFFFF" w:sz="0"/>
              <w:left w:val="none" w:color="FFFFFF" w:sz="0"/>
              <w:bottom w:val="none" w:color="FFFFFF" w:sz="0"/>
              <w:right w:val="none" w:color="FFFFFF" w:sz="0"/>
            </w:tcBorders>
            <w:shd w:fill="FEF9E7"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All costs shown are estimates based on typical patient scenarios as of March 2026 and are subject to change. Actual costs depend on your insurance plan, deductible, co-pay tier, prescribed medications, and number of visits. Call 206-960-4770 or visit revivelowt.com/pricing for current pricing.</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3b.  Risk That Treatment May Not Work &amp; Unknown Long-Term Risks</w:t>
            </w:r>
          </w:p>
        </w:tc>
      </w:tr>
    </w:tbl>
    <w:p>
      <w:pPr>
        <w:spacing w:before="0" w:after="160"/>
      </w:pPr>
    </w:p>
    <w:p>
      <w:pPr>
        <w:pStyle w:val="Heading2"/>
        <w:spacing w:before="120" w:after="80"/>
      </w:pPr>
      <w:r>
        <w:rPr>
          <w:rFonts w:ascii="Arial" w:cs="Arial" w:eastAsia="Arial" w:hAnsi="Arial"/>
          <w:b/>
          <w:bCs/>
          <w:color w:val="1A7A8C"/>
          <w:sz w:val="24"/>
          <w:szCs w:val="24"/>
        </w:rPr>
        <w:t xml:space="preserve">Risk That Treatment May Not Work</w:t>
      </w:r>
    </w:p>
    <w:p>
      <w:pPr>
        <w:spacing w:before="20" w:after="100"/>
      </w:pPr>
      <w:r>
        <w:rPr>
          <w:rFonts w:ascii="Arial" w:cs="Arial" w:eastAsia="Arial" w:hAnsi="Arial"/>
          <w:color w:val="1A1A2E"/>
          <w:sz w:val="22"/>
          <w:szCs w:val="22"/>
        </w:rPr>
        <w:t xml:space="preserve">Treatment for testosterone deficiency may not produce the improvements you are hoping for. This applies to all medications discussed in this document.</w:t>
      </w:r>
    </w:p>
    <w:p>
      <w:pPr>
        <w:spacing w:before="0" w:after="80"/>
      </w:pPr>
    </w:p>
    <w:p>
      <w:pPr>
        <w:pStyle w:val="ListParagraph"/>
        <w:numPr>
          <w:ilvl w:val="0"/>
          <w:numId w:val="2"/>
        </w:numPr>
        <w:spacing w:before="20" w:after="60"/>
      </w:pPr>
      <w:r>
        <w:rPr>
          <w:rFonts w:ascii="Arial" w:cs="Arial" w:eastAsia="Arial" w:hAnsi="Arial"/>
          <w:color w:val="1A1A2E"/>
          <w:sz w:val="22"/>
          <w:szCs w:val="22"/>
        </w:rPr>
        <w:t xml:space="preserve">Symptom improvement is not guaranteed. Some patients experience significant improvement in energy, mood, libido, and body composition. Others experience little or no change, even with adequate testosterone levels on blood testing.</w:t>
      </w:r>
    </w:p>
    <w:p>
      <w:pPr>
        <w:pStyle w:val="ListParagraph"/>
        <w:numPr>
          <w:ilvl w:val="0"/>
          <w:numId w:val="2"/>
        </w:numPr>
        <w:spacing w:before="20" w:after="60"/>
      </w:pPr>
      <w:r>
        <w:rPr>
          <w:rFonts w:ascii="Arial" w:cs="Arial" w:eastAsia="Arial" w:hAnsi="Arial"/>
          <w:color w:val="1A1A2E"/>
          <w:sz w:val="22"/>
          <w:szCs w:val="22"/>
        </w:rPr>
        <w:t xml:space="preserve">Testosterone levels may normalise on treatment while symptoms persist — indicating another condition, not testosterone deficiency, may be the primary cause.</w:t>
      </w:r>
    </w:p>
    <w:p>
      <w:pPr>
        <w:pStyle w:val="ListParagraph"/>
        <w:numPr>
          <w:ilvl w:val="0"/>
          <w:numId w:val="2"/>
        </w:numPr>
        <w:spacing w:before="20" w:after="60"/>
      </w:pPr>
      <w:r>
        <w:rPr>
          <w:rFonts w:ascii="Arial" w:cs="Arial" w:eastAsia="Arial" w:hAnsi="Arial"/>
          <w:color w:val="1A1A2E"/>
          <w:sz w:val="22"/>
          <w:szCs w:val="22"/>
        </w:rPr>
        <w:t xml:space="preserve">Response is individual. Age, duration of deficiency, health conditions, sleep quality, and lifestyle all affect response and cannot be controlled by medication alone.</w:t>
      </w:r>
    </w:p>
    <w:p>
      <w:pPr>
        <w:pStyle w:val="ListParagraph"/>
        <w:numPr>
          <w:ilvl w:val="0"/>
          <w:numId w:val="2"/>
        </w:numPr>
        <w:spacing w:before="20" w:after="60"/>
      </w:pPr>
      <w:r>
        <w:rPr>
          <w:rFonts w:ascii="Arial" w:cs="Arial" w:eastAsia="Arial" w:hAnsi="Arial"/>
          <w:color w:val="1A1A2E"/>
          <w:sz w:val="22"/>
          <w:szCs w:val="22"/>
        </w:rPr>
        <w:t xml:space="preserve">Time to response varies. Some benefits (libido, energy) may appear within weeks; others (body composition, bone density) require months to years.</w:t>
      </w:r>
    </w:p>
    <w:p>
      <w:pPr>
        <w:spacing w:before="0" w:after="120"/>
      </w:pPr>
    </w:p>
    <w:tbl>
      <w:tblPr>
        <w:tblW w:type="dxa" w:w="9360"/>
        <w:tblBorders>
          <w:top w:val="none" w:color="FFFFFF" w:sz="0"/>
          <w:left w:val="single" w:color="C0392B"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EDEC" w:val="clear"/>
            <w:tcMar>
              <w:top w:type="dxa" w:w="60"/>
              <w:left w:type="dxa" w:w="140"/>
              <w:bottom w:type="dxa" w:w="0"/>
              <w:right w:type="dxa" w:w="140"/>
            </w:tcMar>
          </w:tcPr>
          <w:p>
            <w:pPr>
              <w:spacing w:before="0" w:after="40"/>
            </w:pPr>
            <w:r>
              <w:rPr>
                <w:rFonts w:ascii="Arial" w:cs="Arial" w:eastAsia="Arial" w:hAnsi="Arial"/>
                <w:b/>
                <w:bCs/>
                <w:color w:val="C0392B"/>
                <w:sz w:val="20"/>
                <w:szCs w:val="20"/>
              </w:rPr>
              <w:t xml:space="preserve">⚠  If Treatment Does Not Help</w:t>
            </w:r>
          </w:p>
        </w:tc>
      </w:tr>
      <w:tr>
        <w:tc>
          <w:tcPr>
            <w:tcW w:type="dxa" w:w="9360"/>
            <w:tcBorders>
              <w:top w:val="none" w:color="FFFFFF" w:sz="0"/>
              <w:left w:val="none" w:color="FFFFFF" w:sz="0"/>
              <w:bottom w:val="none" w:color="FFFFFF" w:sz="0"/>
              <w:right w:val="none" w:color="FFFFFF" w:sz="0"/>
            </w:tcBorders>
            <w:shd w:fill="FDEDEC"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If you do not experience meaningful improvement after an adequate trial (typically 3–6 months at a therapeutic dose), your clinician may recommend reassessing the diagnosis, exploring alternative explanations for your symptoms, adjusting the treatment approach, or discontinuing therapy. Continuing treatment that is not producing benefit is not appropriate.</w:t>
            </w:r>
          </w:p>
        </w:tc>
      </w:tr>
    </w:tbl>
    <w:p>
      <w:pPr>
        <w:spacing w:before="0" w:after="200"/>
      </w:pPr>
    </w:p>
    <w:p>
      <w:pPr>
        <w:pStyle w:val="Heading2"/>
        <w:spacing w:before="120" w:after="80"/>
      </w:pPr>
      <w:r>
        <w:rPr>
          <w:rFonts w:ascii="Arial" w:cs="Arial" w:eastAsia="Arial" w:hAnsi="Arial"/>
          <w:b/>
          <w:bCs/>
          <w:color w:val="1A7A8C"/>
          <w:sz w:val="24"/>
          <w:szCs w:val="24"/>
        </w:rPr>
        <w:t xml:space="preserve">Unknown and Long-Term Risks</w:t>
      </w:r>
    </w:p>
    <w:p>
      <w:pPr>
        <w:spacing w:before="20" w:after="100"/>
      </w:pPr>
      <w:r>
        <w:rPr>
          <w:rFonts w:ascii="Arial" w:cs="Arial" w:eastAsia="Arial" w:hAnsi="Arial"/>
          <w:color w:val="1A1A2E"/>
          <w:sz w:val="22"/>
          <w:szCs w:val="22"/>
        </w:rPr>
        <w:t xml:space="preserve">The long-term safety of all medications — including those for testosterone deficiency — is not fully known. You should be aware of the following:</w:t>
      </w:r>
    </w:p>
    <w:p>
      <w:pPr>
        <w:spacing w:before="0" w:after="80"/>
      </w:pPr>
    </w:p>
    <w:p>
      <w:pPr>
        <w:pStyle w:val="ListParagraph"/>
        <w:numPr>
          <w:ilvl w:val="0"/>
          <w:numId w:val="2"/>
        </w:numPr>
        <w:spacing w:before="20" w:after="60"/>
      </w:pPr>
      <w:r>
        <w:rPr>
          <w:rFonts w:ascii="Arial" w:cs="Arial" w:eastAsia="Arial" w:hAnsi="Arial"/>
          <w:color w:val="1A1A2E"/>
          <w:sz w:val="22"/>
          <w:szCs w:val="22"/>
        </w:rPr>
        <w:t xml:space="preserve">Long-term data for testosterone therapy span several decades but continue to evolve. Effects over 20 or more years of continuous use remain less well-characterised.</w:t>
      </w:r>
    </w:p>
    <w:p>
      <w:pPr>
        <w:pStyle w:val="ListParagraph"/>
        <w:numPr>
          <w:ilvl w:val="0"/>
          <w:numId w:val="2"/>
        </w:numPr>
        <w:spacing w:before="20" w:after="60"/>
      </w:pPr>
      <w:r>
        <w:rPr>
          <w:rFonts w:ascii="Arial" w:cs="Arial" w:eastAsia="Arial" w:hAnsi="Arial"/>
          <w:color w:val="1A1A2E"/>
          <w:sz w:val="22"/>
          <w:szCs w:val="22"/>
        </w:rPr>
        <w:t xml:space="preserve">Off-label medications carry additional uncertainty. Anastrozole, clomiphene, and enclomiphene are used off-label in men. Long-term safety data in men are more limited than for testosterone itself.</w:t>
      </w:r>
    </w:p>
    <w:p>
      <w:pPr>
        <w:pStyle w:val="ListParagraph"/>
        <w:numPr>
          <w:ilvl w:val="0"/>
          <w:numId w:val="2"/>
        </w:numPr>
        <w:spacing w:before="20" w:after="60"/>
      </w:pPr>
      <w:r>
        <w:rPr>
          <w:rFonts w:ascii="Arial" w:cs="Arial" w:eastAsia="Arial" w:hAnsi="Arial"/>
          <w:color w:val="1A1A2E"/>
          <w:sz w:val="22"/>
          <w:szCs w:val="22"/>
        </w:rPr>
        <w:t xml:space="preserve">Enclomiphene carries the least long-term data of all options. As a compounded or investigational agent, it has not undergone the same regulatory scrutiny as commercially approved drugs.</w:t>
      </w:r>
    </w:p>
    <w:p>
      <w:pPr>
        <w:pStyle w:val="ListParagraph"/>
        <w:numPr>
          <w:ilvl w:val="0"/>
          <w:numId w:val="2"/>
        </w:numPr>
        <w:spacing w:before="20" w:after="60"/>
      </w:pPr>
      <w:r>
        <w:rPr>
          <w:rFonts w:ascii="Arial" w:cs="Arial" w:eastAsia="Arial" w:hAnsi="Arial"/>
          <w:color w:val="1A1A2E"/>
          <w:sz w:val="22"/>
          <w:szCs w:val="22"/>
        </w:rPr>
        <w:t xml:space="preserve">Side effects not yet identified may emerge. As with any medication, rare or long-latency adverse effects may not yet be fully described in the literature.</w:t>
      </w:r>
    </w:p>
    <w:p>
      <w:pPr>
        <w:pStyle w:val="ListParagraph"/>
        <w:numPr>
          <w:ilvl w:val="0"/>
          <w:numId w:val="2"/>
        </w:numPr>
        <w:spacing w:before="20" w:after="60"/>
      </w:pPr>
      <w:r>
        <w:rPr>
          <w:rFonts w:ascii="Arial" w:cs="Arial" w:eastAsia="Arial" w:hAnsi="Arial"/>
          <w:color w:val="1A1A2E"/>
          <w:sz w:val="22"/>
          <w:szCs w:val="22"/>
        </w:rPr>
        <w:t xml:space="preserve">Individual variation means published risk statistics may not reflect your personal risk.</w:t>
      </w:r>
    </w:p>
    <w:p>
      <w:pPr>
        <w:spacing w:before="0" w:after="120"/>
      </w:pPr>
    </w:p>
    <w:tbl>
      <w:tblPr>
        <w:tblW w:type="dxa" w:w="9360"/>
        <w:tblBorders>
          <w:top w:val="none" w:color="FFFFFF" w:sz="0"/>
          <w:left w:val="single" w:color="D4860A"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EF9E7" w:val="clear"/>
            <w:tcMar>
              <w:top w:type="dxa" w:w="60"/>
              <w:left w:type="dxa" w:w="140"/>
              <w:bottom w:type="dxa" w:w="0"/>
              <w:right w:type="dxa" w:w="140"/>
            </w:tcMar>
          </w:tcPr>
          <w:p>
            <w:pPr>
              <w:spacing w:before="0" w:after="40"/>
            </w:pPr>
            <w:r>
              <w:rPr>
                <w:rFonts w:ascii="Arial" w:cs="Arial" w:eastAsia="Arial" w:hAnsi="Arial"/>
                <w:b/>
                <w:bCs/>
                <w:color w:val="D4860A"/>
                <w:sz w:val="20"/>
                <w:szCs w:val="20"/>
              </w:rPr>
              <w:t xml:space="preserve">Your Ongoing Right to Be Informed</w:t>
            </w:r>
          </w:p>
        </w:tc>
      </w:tr>
      <w:tr>
        <w:tc>
          <w:tcPr>
            <w:tcW w:type="dxa" w:w="9360"/>
            <w:tcBorders>
              <w:top w:val="none" w:color="FFFFFF" w:sz="0"/>
              <w:left w:val="none" w:color="FFFFFF" w:sz="0"/>
              <w:bottom w:val="none" w:color="FFFFFF" w:sz="0"/>
              <w:right w:val="none" w:color="FFFFFF" w:sz="0"/>
            </w:tcBorders>
            <w:shd w:fill="FEF9E7"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If significant new safety information becomes available about any medication you are taking, Revive will notify you at your next appointment or contact you directly if urgent. You are encouraged to ask about updated evidence at any visit.</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4.  Medication Details — Benefits, Risks, and Contraindications</w:t>
            </w:r>
          </w:p>
        </w:tc>
      </w:tr>
    </w:tbl>
    <w:p>
      <w:pPr>
        <w:spacing w:before="0" w:after="160"/>
      </w:pPr>
    </w:p>
    <w:p>
      <w:pPr>
        <w:spacing w:before="20" w:after="100"/>
      </w:pPr>
      <w:r>
        <w:rPr>
          <w:rFonts w:ascii="Arial" w:cs="Arial" w:eastAsia="Arial" w:hAnsi="Arial"/>
          <w:color w:val="1A1A2E"/>
          <w:sz w:val="22"/>
          <w:szCs w:val="22"/>
        </w:rPr>
        <w:t xml:space="preserve">The following sections describe each medication in detail. Your clinician will discuss which of these are relevant to your individual treatment plan.</w:t>
      </w:r>
    </w:p>
    <w:p>
      <w:pPr>
        <w:spacing w:before="0" w:after="160"/>
      </w:pPr>
    </w:p>
    <w:p>
      <w:pPr>
        <w:pStyle w:val="Heading2"/>
        <w:spacing w:before="160" w:after="80"/>
      </w:pPr>
      <w:r>
        <w:rPr>
          <w:rFonts w:ascii="Arial" w:cs="Arial" w:eastAsia="Arial" w:hAnsi="Arial"/>
          <w:b/>
          <w:bCs/>
          <w:color w:val="1A7A8C"/>
          <w:sz w:val="24"/>
          <w:szCs w:val="24"/>
        </w:rPr>
        <w:t xml:space="preserve">4.1  Testosterone Cypionate (Intramuscular Injection)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9360"/>
            <w:gridSpan w:val="2"/>
            <w:tcBorders>
              <w:top w:val="single" w:color="1A7A8C" w:sz="1"/>
              <w:left w:val="single" w:color="1A7A8C" w:sz="1"/>
              <w:bottom w:val="single" w:color="1A7A8C" w:sz="1"/>
              <w:right w:val="single" w:color="1A7A8C" w:sz="1"/>
            </w:tcBorders>
            <w:shd w:fill="1A7A8C" w:val="clear"/>
            <w:tcMar>
              <w:top w:type="dxa" w:w="70"/>
              <w:left w:type="dxa" w:w="140"/>
              <w:bottom w:type="dxa" w:w="70"/>
              <w:right w:type="dxa" w:w="80"/>
            </w:tcMar>
          </w:tcPr>
          <w:p>
            <w:pPr>
              <w:spacing w:before="0" w:after="0"/>
            </w:pPr>
            <w:r>
              <w:rPr>
                <w:rFonts w:ascii="Arial" w:cs="Arial" w:eastAsia="Arial" w:hAnsi="Arial"/>
                <w:b/>
                <w:bCs/>
                <w:color w:val="FFFFFF"/>
                <w:sz w:val="22"/>
                <w:szCs w:val="22"/>
              </w:rPr>
              <w:t xml:space="preserve">Testosterone Cypionate  —  Intramuscular injection — weekly or twice weekly. Self-injection training provided in clinic.</w:t>
            </w:r>
          </w:p>
        </w:tc>
      </w:tr>
      <w:tr>
        <w:tc>
          <w:tcPr>
            <w:tcW w:type="dxa" w:w="20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Mechanism</w:t>
            </w:r>
          </w:p>
        </w:tc>
        <w:tc>
          <w:tcPr>
            <w:tcW w:type="dxa" w:w="73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Testosterone cypionate is an esterified form of testosterone dissolved in oil. Injected into muscle, it is released gradually into the bloodstream over 7–14 days, raising serum testosterone toward the normal physiological range.</w:t>
            </w:r>
          </w:p>
        </w:tc>
      </w:tr>
      <w:tr>
        <w:tc>
          <w:tcPr>
            <w:tcW w:type="dxa" w:w="20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Route &amp; Frequency</w:t>
            </w:r>
          </w:p>
        </w:tc>
        <w:tc>
          <w:tcPr>
            <w:tcW w:type="dxa" w:w="736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Intramuscular injection — weekly or twice weekly. Self-injection training provided in clinic.</w:t>
            </w:r>
          </w:p>
        </w:tc>
      </w:tr>
      <w:tr>
        <w:tc>
          <w:tcPr>
            <w:tcW w:type="dxa" w:w="20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Potential Benefits</w:t>
            </w:r>
          </w:p>
        </w:tc>
        <w:tc>
          <w:tcPr>
            <w:tcW w:type="dxa" w:w="73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Improved energy, mood, and motivation</w:t>
            </w:r>
          </w:p>
          <w:p>
            <w:pPr>
              <w:pStyle w:val="ListParagraph"/>
              <w:numPr>
                <w:ilvl w:val="0"/>
                <w:numId w:val="2"/>
              </w:numPr>
              <w:spacing w:before="0" w:after="40"/>
            </w:pPr>
            <w:r>
              <w:rPr>
                <w:rFonts w:ascii="Arial" w:cs="Arial" w:eastAsia="Arial" w:hAnsi="Arial"/>
                <w:color w:val="1A1A2E"/>
                <w:sz w:val="20"/>
                <w:szCs w:val="20"/>
              </w:rPr>
              <w:t xml:space="preserve">Increased libido and sexual function</w:t>
            </w:r>
          </w:p>
          <w:p>
            <w:pPr>
              <w:pStyle w:val="ListParagraph"/>
              <w:numPr>
                <w:ilvl w:val="0"/>
                <w:numId w:val="2"/>
              </w:numPr>
              <w:spacing w:before="0" w:after="40"/>
            </w:pPr>
            <w:r>
              <w:rPr>
                <w:rFonts w:ascii="Arial" w:cs="Arial" w:eastAsia="Arial" w:hAnsi="Arial"/>
                <w:color w:val="1A1A2E"/>
                <w:sz w:val="20"/>
                <w:szCs w:val="20"/>
              </w:rPr>
              <w:t xml:space="preserve">Increased muscle mass and strength</w:t>
            </w:r>
          </w:p>
          <w:p>
            <w:pPr>
              <w:pStyle w:val="ListParagraph"/>
              <w:numPr>
                <w:ilvl w:val="0"/>
                <w:numId w:val="2"/>
              </w:numPr>
              <w:spacing w:before="0" w:after="40"/>
            </w:pPr>
            <w:r>
              <w:rPr>
                <w:rFonts w:ascii="Arial" w:cs="Arial" w:eastAsia="Arial" w:hAnsi="Arial"/>
                <w:color w:val="1A1A2E"/>
                <w:sz w:val="20"/>
                <w:szCs w:val="20"/>
              </w:rPr>
              <w:t xml:space="preserve">Reduced body fat (particularly visceral fat)</w:t>
            </w:r>
          </w:p>
          <w:p>
            <w:pPr>
              <w:pStyle w:val="ListParagraph"/>
              <w:numPr>
                <w:ilvl w:val="0"/>
                <w:numId w:val="2"/>
              </w:numPr>
              <w:spacing w:before="0" w:after="40"/>
            </w:pPr>
            <w:r>
              <w:rPr>
                <w:rFonts w:ascii="Arial" w:cs="Arial" w:eastAsia="Arial" w:hAnsi="Arial"/>
                <w:color w:val="1A1A2E"/>
                <w:sz w:val="20"/>
                <w:szCs w:val="20"/>
              </w:rPr>
              <w:t xml:space="preserve">Improved bone mineral density</w:t>
            </w:r>
          </w:p>
          <w:p>
            <w:pPr>
              <w:pStyle w:val="ListParagraph"/>
              <w:numPr>
                <w:ilvl w:val="0"/>
                <w:numId w:val="2"/>
              </w:numPr>
              <w:spacing w:before="0" w:after="0"/>
            </w:pPr>
            <w:r>
              <w:rPr>
                <w:rFonts w:ascii="Arial" w:cs="Arial" w:eastAsia="Arial" w:hAnsi="Arial"/>
                <w:color w:val="1A1A2E"/>
                <w:sz w:val="20"/>
                <w:szCs w:val="20"/>
              </w:rPr>
              <w:t xml:space="preserve">Improved concentration and cognitive function</w:t>
            </w:r>
          </w:p>
        </w:tc>
      </w:tr>
      <w:tr>
        <w:tc>
          <w:tcPr>
            <w:tcW w:type="dxa" w:w="20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Potential Side Effects &amp; Risks</w:t>
            </w:r>
          </w:p>
        </w:tc>
        <w:tc>
          <w:tcPr>
            <w:tcW w:type="dxa" w:w="736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Oily skin, acne, increased facial and body hair</w:t>
            </w:r>
          </w:p>
          <w:p>
            <w:pPr>
              <w:pStyle w:val="ListParagraph"/>
              <w:numPr>
                <w:ilvl w:val="0"/>
                <w:numId w:val="2"/>
              </w:numPr>
              <w:spacing w:before="0" w:after="40"/>
            </w:pPr>
            <w:r>
              <w:rPr>
                <w:rFonts w:ascii="Arial" w:cs="Arial" w:eastAsia="Arial" w:hAnsi="Arial"/>
                <w:color w:val="1A1A2E"/>
                <w:sz w:val="20"/>
                <w:szCs w:val="20"/>
              </w:rPr>
              <w:t xml:space="preserve">Male-pattern hair loss (in those genetically predisposed)</w:t>
            </w:r>
          </w:p>
          <w:p>
            <w:pPr>
              <w:pStyle w:val="ListParagraph"/>
              <w:numPr>
                <w:ilvl w:val="0"/>
                <w:numId w:val="2"/>
              </w:numPr>
              <w:spacing w:before="0" w:after="40"/>
            </w:pPr>
            <w:r>
              <w:rPr>
                <w:rFonts w:ascii="Arial" w:cs="Arial" w:eastAsia="Arial" w:hAnsi="Arial"/>
                <w:color w:val="1A1A2E"/>
                <w:sz w:val="20"/>
                <w:szCs w:val="20"/>
              </w:rPr>
              <w:t xml:space="preserve">Erythrocytosis (elevated hematocrit/red blood cell count) — monitored by blood test</w:t>
            </w:r>
          </w:p>
          <w:p>
            <w:pPr>
              <w:pStyle w:val="ListParagraph"/>
              <w:numPr>
                <w:ilvl w:val="0"/>
                <w:numId w:val="2"/>
              </w:numPr>
              <w:spacing w:before="0" w:after="40"/>
            </w:pPr>
            <w:r>
              <w:rPr>
                <w:rFonts w:ascii="Arial" w:cs="Arial" w:eastAsia="Arial" w:hAnsi="Arial"/>
                <w:color w:val="1A1A2E"/>
                <w:sz w:val="20"/>
                <w:szCs w:val="20"/>
              </w:rPr>
              <w:t xml:space="preserve">Testicular atrophy and reduced sperm production — hCG may partially offset this</w:t>
            </w:r>
          </w:p>
          <w:p>
            <w:pPr>
              <w:pStyle w:val="ListParagraph"/>
              <w:numPr>
                <w:ilvl w:val="0"/>
                <w:numId w:val="2"/>
              </w:numPr>
              <w:spacing w:before="0" w:after="40"/>
            </w:pPr>
            <w:r>
              <w:rPr>
                <w:rFonts w:ascii="Arial" w:cs="Arial" w:eastAsia="Arial" w:hAnsi="Arial"/>
                <w:color w:val="1A1A2E"/>
                <w:sz w:val="20"/>
                <w:szCs w:val="20"/>
              </w:rPr>
              <w:t xml:space="preserve">Elevated estradiol leading to breast tenderness, fluid retention, or mood changes — managed with anastrozole if needed</w:t>
            </w:r>
          </w:p>
          <w:p>
            <w:pPr>
              <w:pStyle w:val="ListParagraph"/>
              <w:numPr>
                <w:ilvl w:val="0"/>
                <w:numId w:val="2"/>
              </w:numPr>
              <w:spacing w:before="0" w:after="40"/>
            </w:pPr>
            <w:r>
              <w:rPr>
                <w:rFonts w:ascii="Arial" w:cs="Arial" w:eastAsia="Arial" w:hAnsi="Arial"/>
                <w:color w:val="1A1A2E"/>
                <w:sz w:val="20"/>
                <w:szCs w:val="20"/>
              </w:rPr>
              <w:t xml:space="preserve">Gynecomastia (breast tissue enlargement)</w:t>
            </w:r>
          </w:p>
          <w:p>
            <w:pPr>
              <w:pStyle w:val="ListParagraph"/>
              <w:numPr>
                <w:ilvl w:val="0"/>
                <w:numId w:val="2"/>
              </w:numPr>
              <w:spacing w:before="0" w:after="40"/>
            </w:pPr>
            <w:r>
              <w:rPr>
                <w:rFonts w:ascii="Arial" w:cs="Arial" w:eastAsia="Arial" w:hAnsi="Arial"/>
                <w:color w:val="1A1A2E"/>
                <w:sz w:val="20"/>
                <w:szCs w:val="20"/>
              </w:rPr>
              <w:t xml:space="preserve">Sleep apnea — may worsen in susceptible individuals</w:t>
            </w:r>
          </w:p>
          <w:p>
            <w:pPr>
              <w:pStyle w:val="ListParagraph"/>
              <w:numPr>
                <w:ilvl w:val="0"/>
                <w:numId w:val="2"/>
              </w:numPr>
              <w:spacing w:before="0" w:after="40"/>
            </w:pPr>
            <w:r>
              <w:rPr>
                <w:rFonts w:ascii="Arial" w:cs="Arial" w:eastAsia="Arial" w:hAnsi="Arial"/>
                <w:color w:val="1A1A2E"/>
                <w:sz w:val="20"/>
                <w:szCs w:val="20"/>
              </w:rPr>
              <w:t xml:space="preserve">Cardiovascular effects — long-term risk data are evolving; regular monitoring required</w:t>
            </w:r>
          </w:p>
          <w:p>
            <w:pPr>
              <w:pStyle w:val="ListParagraph"/>
              <w:numPr>
                <w:ilvl w:val="0"/>
                <w:numId w:val="2"/>
              </w:numPr>
              <w:spacing w:before="0" w:after="40"/>
            </w:pPr>
            <w:r>
              <w:rPr>
                <w:rFonts w:ascii="Arial" w:cs="Arial" w:eastAsia="Arial" w:hAnsi="Arial"/>
                <w:color w:val="1A1A2E"/>
                <w:sz w:val="20"/>
                <w:szCs w:val="20"/>
              </w:rPr>
              <w:t xml:space="preserve">Suppression of natural testosterone and sperm production — may affect fertility</w:t>
            </w:r>
          </w:p>
          <w:p>
            <w:pPr>
              <w:pStyle w:val="ListParagraph"/>
              <w:numPr>
                <w:ilvl w:val="0"/>
                <w:numId w:val="2"/>
              </w:numPr>
              <w:spacing w:before="0" w:after="40"/>
            </w:pPr>
            <w:r>
              <w:rPr>
                <w:rFonts w:ascii="Arial" w:cs="Arial" w:eastAsia="Arial" w:hAnsi="Arial"/>
                <w:color w:val="1A1A2E"/>
                <w:sz w:val="20"/>
                <w:szCs w:val="20"/>
              </w:rPr>
              <w:t xml:space="preserve">Injection site reactions (bruising, soreness, nodule formation with repeated use at same site)</w:t>
            </w:r>
          </w:p>
          <w:p>
            <w:pPr>
              <w:pStyle w:val="ListParagraph"/>
              <w:numPr>
                <w:ilvl w:val="0"/>
                <w:numId w:val="2"/>
              </w:numPr>
              <w:spacing w:before="0" w:after="0"/>
            </w:pPr>
            <w:r>
              <w:rPr>
                <w:rFonts w:ascii="Arial" w:cs="Arial" w:eastAsia="Arial" w:hAnsi="Arial"/>
                <w:color w:val="1A1A2E"/>
                <w:sz w:val="20"/>
                <w:szCs w:val="20"/>
              </w:rPr>
              <w:t xml:space="preserve">Pulmonary oil microembolism (extremely rare — can occur if oil injected into blood vessel)</w:t>
            </w:r>
          </w:p>
        </w:tc>
      </w:tr>
      <w:tr>
        <w:tc>
          <w:tcPr>
            <w:tcW w:type="dxa" w:w="20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Contraindications</w:t>
            </w:r>
          </w:p>
        </w:tc>
        <w:tc>
          <w:tcPr>
            <w:tcW w:type="dxa" w:w="73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Known or suspected prostate cancer</w:t>
            </w:r>
          </w:p>
          <w:p>
            <w:pPr>
              <w:pStyle w:val="ListParagraph"/>
              <w:numPr>
                <w:ilvl w:val="0"/>
                <w:numId w:val="2"/>
              </w:numPr>
              <w:spacing w:before="0" w:after="40"/>
            </w:pPr>
            <w:r>
              <w:rPr>
                <w:rFonts w:ascii="Arial" w:cs="Arial" w:eastAsia="Arial" w:hAnsi="Arial"/>
                <w:color w:val="1A1A2E"/>
                <w:sz w:val="20"/>
                <w:szCs w:val="20"/>
              </w:rPr>
              <w:t xml:space="preserve">Known or suspected male breast cancer</w:t>
            </w:r>
          </w:p>
          <w:p>
            <w:pPr>
              <w:pStyle w:val="ListParagraph"/>
              <w:numPr>
                <w:ilvl w:val="0"/>
                <w:numId w:val="2"/>
              </w:numPr>
              <w:spacing w:before="0" w:after="40"/>
            </w:pPr>
            <w:r>
              <w:rPr>
                <w:rFonts w:ascii="Arial" w:cs="Arial" w:eastAsia="Arial" w:hAnsi="Arial"/>
                <w:color w:val="1A1A2E"/>
                <w:sz w:val="20"/>
                <w:szCs w:val="20"/>
              </w:rPr>
              <w:t xml:space="preserve">Absence of confirmed testosterone deficiency</w:t>
            </w:r>
          </w:p>
          <w:p>
            <w:pPr>
              <w:pStyle w:val="ListParagraph"/>
              <w:numPr>
                <w:ilvl w:val="0"/>
                <w:numId w:val="2"/>
              </w:numPr>
              <w:spacing w:before="0" w:after="40"/>
            </w:pPr>
            <w:r>
              <w:rPr>
                <w:rFonts w:ascii="Arial" w:cs="Arial" w:eastAsia="Arial" w:hAnsi="Arial"/>
                <w:color w:val="1A1A2E"/>
                <w:sz w:val="20"/>
                <w:szCs w:val="20"/>
              </w:rPr>
              <w:t xml:space="preserve">Hematocrit &gt; 50% at baseline (until etiology is identified)</w:t>
            </w:r>
          </w:p>
          <w:p>
            <w:pPr>
              <w:pStyle w:val="ListParagraph"/>
              <w:numPr>
                <w:ilvl w:val="0"/>
                <w:numId w:val="2"/>
              </w:numPr>
              <w:spacing w:before="0" w:after="40"/>
            </w:pPr>
            <w:r>
              <w:rPr>
                <w:rFonts w:ascii="Arial" w:cs="Arial" w:eastAsia="Arial" w:hAnsi="Arial"/>
                <w:color w:val="1A1A2E"/>
                <w:sz w:val="20"/>
                <w:szCs w:val="20"/>
              </w:rPr>
              <w:t xml:space="preserve">Desire to maintain or achieve fertility in the near term (discuss alternatives)</w:t>
            </w:r>
          </w:p>
          <w:p>
            <w:pPr>
              <w:pStyle w:val="ListParagraph"/>
              <w:numPr>
                <w:ilvl w:val="0"/>
                <w:numId w:val="2"/>
              </w:numPr>
              <w:spacing w:before="0" w:after="40"/>
            </w:pPr>
            <w:r>
              <w:rPr>
                <w:rFonts w:ascii="Arial" w:cs="Arial" w:eastAsia="Arial" w:hAnsi="Arial"/>
                <w:color w:val="1A1A2E"/>
                <w:sz w:val="20"/>
                <w:szCs w:val="20"/>
              </w:rPr>
              <w:t xml:space="preserve">Severe untreated obstructive sleep apnea</w:t>
            </w:r>
          </w:p>
          <w:p>
            <w:pPr>
              <w:pStyle w:val="ListParagraph"/>
              <w:numPr>
                <w:ilvl w:val="0"/>
                <w:numId w:val="2"/>
              </w:numPr>
              <w:spacing w:before="0" w:after="0"/>
            </w:pPr>
            <w:r>
              <w:rPr>
                <w:rFonts w:ascii="Arial" w:cs="Arial" w:eastAsia="Arial" w:hAnsi="Arial"/>
                <w:color w:val="1A1A2E"/>
                <w:sz w:val="20"/>
                <w:szCs w:val="20"/>
              </w:rPr>
              <w:t xml:space="preserve">Recent major cardiovascular event within 3–6 months</w:t>
            </w:r>
          </w:p>
        </w:tc>
      </w:tr>
    </w:tbl>
    <w:p>
      <w:pPr>
        <w:spacing w:before="0" w:after="200"/>
      </w:pPr>
    </w:p>
    <w:p>
      <w:pPr>
        <w:pStyle w:val="Heading2"/>
        <w:spacing w:before="160" w:after="80"/>
      </w:pPr>
      <w:r>
        <w:rPr>
          <w:rFonts w:ascii="Arial" w:cs="Arial" w:eastAsia="Arial" w:hAnsi="Arial"/>
          <w:b/>
          <w:bCs/>
          <w:color w:val="1A7A8C"/>
          <w:sz w:val="24"/>
          <w:szCs w:val="24"/>
        </w:rPr>
        <w:t xml:space="preserve">4.2  Topical Testosterone (Gel or Cream)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9360"/>
            <w:gridSpan w:val="2"/>
            <w:tcBorders>
              <w:top w:val="single" w:color="1A7A8C" w:sz="1"/>
              <w:left w:val="single" w:color="1A7A8C" w:sz="1"/>
              <w:bottom w:val="single" w:color="1A7A8C" w:sz="1"/>
              <w:right w:val="single" w:color="1A7A8C" w:sz="1"/>
            </w:tcBorders>
            <w:shd w:fill="1A7A8C" w:val="clear"/>
            <w:tcMar>
              <w:top w:type="dxa" w:w="70"/>
              <w:left w:type="dxa" w:w="140"/>
              <w:bottom w:type="dxa" w:w="70"/>
              <w:right w:type="dxa" w:w="80"/>
            </w:tcMar>
          </w:tcPr>
          <w:p>
            <w:pPr>
              <w:spacing w:before="0" w:after="0"/>
            </w:pPr>
            <w:r>
              <w:rPr>
                <w:rFonts w:ascii="Arial" w:cs="Arial" w:eastAsia="Arial" w:hAnsi="Arial"/>
                <w:b/>
                <w:bCs/>
                <w:color w:val="FFFFFF"/>
                <w:sz w:val="22"/>
                <w:szCs w:val="22"/>
              </w:rPr>
              <w:t xml:space="preserve">Topical Testosterone  —  Applied to skin (shoulders, upper arms, or inner thighs) — once daily.</w:t>
            </w:r>
          </w:p>
        </w:tc>
      </w:tr>
      <w:tr>
        <w:tc>
          <w:tcPr>
            <w:tcW w:type="dxa" w:w="20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Mechanism</w:t>
            </w:r>
          </w:p>
        </w:tc>
        <w:tc>
          <w:tcPr>
            <w:tcW w:type="dxa" w:w="73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Testosterone gel or cream is absorbed through the skin directly into the bloodstream. Daily application maintains more stable testosterone levels than weekly injections, avoiding the peak-and-trough pattern associated with injection therapy.</w:t>
            </w:r>
          </w:p>
        </w:tc>
      </w:tr>
      <w:tr>
        <w:tc>
          <w:tcPr>
            <w:tcW w:type="dxa" w:w="20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Route &amp; Frequency</w:t>
            </w:r>
          </w:p>
        </w:tc>
        <w:tc>
          <w:tcPr>
            <w:tcW w:type="dxa" w:w="736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Applied to skin (shoulders, upper arms, or inner thighs) — once daily.</w:t>
            </w:r>
          </w:p>
        </w:tc>
      </w:tr>
      <w:tr>
        <w:tc>
          <w:tcPr>
            <w:tcW w:type="dxa" w:w="20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Potential Benefits</w:t>
            </w:r>
          </w:p>
        </w:tc>
        <w:tc>
          <w:tcPr>
            <w:tcW w:type="dxa" w:w="73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Stable daily testosterone levels — avoids injection peak-and-trough</w:t>
            </w:r>
          </w:p>
          <w:p>
            <w:pPr>
              <w:pStyle w:val="ListParagraph"/>
              <w:numPr>
                <w:ilvl w:val="0"/>
                <w:numId w:val="2"/>
              </w:numPr>
              <w:spacing w:before="0" w:after="40"/>
            </w:pPr>
            <w:r>
              <w:rPr>
                <w:rFonts w:ascii="Arial" w:cs="Arial" w:eastAsia="Arial" w:hAnsi="Arial"/>
                <w:color w:val="1A1A2E"/>
                <w:sz w:val="20"/>
                <w:szCs w:val="20"/>
              </w:rPr>
              <w:t xml:space="preserve">Non-invasive — suitable for needle-averse patients</w:t>
            </w:r>
          </w:p>
          <w:p>
            <w:pPr>
              <w:pStyle w:val="ListParagraph"/>
              <w:numPr>
                <w:ilvl w:val="0"/>
                <w:numId w:val="2"/>
              </w:numPr>
              <w:spacing w:before="0" w:after="40"/>
            </w:pPr>
            <w:r>
              <w:rPr>
                <w:rFonts w:ascii="Arial" w:cs="Arial" w:eastAsia="Arial" w:hAnsi="Arial"/>
                <w:color w:val="1A1A2E"/>
                <w:sz w:val="20"/>
                <w:szCs w:val="20"/>
              </w:rPr>
              <w:t xml:space="preserve">Easily adjustable dose</w:t>
            </w:r>
          </w:p>
          <w:p>
            <w:pPr>
              <w:pStyle w:val="ListParagraph"/>
              <w:numPr>
                <w:ilvl w:val="0"/>
                <w:numId w:val="2"/>
              </w:numPr>
              <w:spacing w:before="0" w:after="0"/>
            </w:pPr>
            <w:r>
              <w:rPr>
                <w:rFonts w:ascii="Arial" w:cs="Arial" w:eastAsia="Arial" w:hAnsi="Arial"/>
                <w:color w:val="1A1A2E"/>
                <w:sz w:val="20"/>
                <w:szCs w:val="20"/>
              </w:rPr>
              <w:t xml:space="preserve">Same systemic benefits as injectable testosterone (energy, libido, body composition, bone density)</w:t>
            </w:r>
          </w:p>
        </w:tc>
      </w:tr>
      <w:tr>
        <w:tc>
          <w:tcPr>
            <w:tcW w:type="dxa" w:w="20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Potential Side Effects &amp; Risks</w:t>
            </w:r>
          </w:p>
        </w:tc>
        <w:tc>
          <w:tcPr>
            <w:tcW w:type="dxa" w:w="736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Skin irritation, dryness, or rash at application site</w:t>
            </w:r>
          </w:p>
          <w:p>
            <w:pPr>
              <w:pStyle w:val="ListParagraph"/>
              <w:numPr>
                <w:ilvl w:val="0"/>
                <w:numId w:val="2"/>
              </w:numPr>
              <w:spacing w:before="0" w:after="40"/>
            </w:pPr>
            <w:r>
              <w:rPr>
                <w:rFonts w:ascii="Arial" w:cs="Arial" w:eastAsia="Arial" w:hAnsi="Arial"/>
                <w:color w:val="1A1A2E"/>
                <w:sz w:val="20"/>
                <w:szCs w:val="20"/>
              </w:rPr>
              <w:t xml:space="preserve">Transfer risk to partners, children, or pets through skin-to-skin contact — cover or wash application site</w:t>
            </w:r>
          </w:p>
          <w:p>
            <w:pPr>
              <w:pStyle w:val="ListParagraph"/>
              <w:numPr>
                <w:ilvl w:val="0"/>
                <w:numId w:val="2"/>
              </w:numPr>
              <w:spacing w:before="0" w:after="40"/>
            </w:pPr>
            <w:r>
              <w:rPr>
                <w:rFonts w:ascii="Arial" w:cs="Arial" w:eastAsia="Arial" w:hAnsi="Arial"/>
                <w:color w:val="1A1A2E"/>
                <w:sz w:val="20"/>
                <w:szCs w:val="20"/>
              </w:rPr>
              <w:t xml:space="preserve">Less predictable absorption than injections; serum levels may vary</w:t>
            </w:r>
          </w:p>
          <w:p>
            <w:pPr>
              <w:pStyle w:val="ListParagraph"/>
              <w:numPr>
                <w:ilvl w:val="0"/>
                <w:numId w:val="2"/>
              </w:numPr>
              <w:spacing w:before="0" w:after="40"/>
            </w:pPr>
            <w:r>
              <w:rPr>
                <w:rFonts w:ascii="Arial" w:cs="Arial" w:eastAsia="Arial" w:hAnsi="Arial"/>
                <w:color w:val="1A1A2E"/>
                <w:sz w:val="20"/>
                <w:szCs w:val="20"/>
              </w:rPr>
              <w:t xml:space="preserve">Same systemic risks as injectable testosterone: erythrocytosis, elevated estradiol, testicular atrophy, acne, hair changes</w:t>
            </w:r>
          </w:p>
          <w:p>
            <w:pPr>
              <w:pStyle w:val="ListParagraph"/>
              <w:numPr>
                <w:ilvl w:val="0"/>
                <w:numId w:val="2"/>
              </w:numPr>
              <w:spacing w:before="0" w:after="40"/>
            </w:pPr>
            <w:r>
              <w:rPr>
                <w:rFonts w:ascii="Arial" w:cs="Arial" w:eastAsia="Arial" w:hAnsi="Arial"/>
                <w:color w:val="1A1A2E"/>
                <w:sz w:val="20"/>
                <w:szCs w:val="20"/>
              </w:rPr>
              <w:t xml:space="preserve">Suppression of sperm production (though typically less than injections)</w:t>
            </w:r>
          </w:p>
          <w:p>
            <w:pPr>
              <w:pStyle w:val="ListParagraph"/>
              <w:numPr>
                <w:ilvl w:val="0"/>
                <w:numId w:val="2"/>
              </w:numPr>
              <w:spacing w:before="0" w:after="0"/>
            </w:pPr>
            <w:r>
              <w:rPr>
                <w:rFonts w:ascii="Arial" w:cs="Arial" w:eastAsia="Arial" w:hAnsi="Arial"/>
                <w:color w:val="1A1A2E"/>
                <w:sz w:val="20"/>
                <w:szCs w:val="20"/>
              </w:rPr>
              <w:t xml:space="preserve">Not suitable if patient has significant skin conditions at application sites</w:t>
            </w:r>
          </w:p>
        </w:tc>
      </w:tr>
      <w:tr>
        <w:tc>
          <w:tcPr>
            <w:tcW w:type="dxa" w:w="20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Contraindications</w:t>
            </w:r>
          </w:p>
        </w:tc>
        <w:tc>
          <w:tcPr>
            <w:tcW w:type="dxa" w:w="73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Same absolute contraindications as injectable testosterone</w:t>
            </w:r>
          </w:p>
          <w:p>
            <w:pPr>
              <w:pStyle w:val="ListParagraph"/>
              <w:numPr>
                <w:ilvl w:val="0"/>
                <w:numId w:val="2"/>
              </w:numPr>
              <w:spacing w:before="0" w:after="40"/>
            </w:pPr>
            <w:r>
              <w:rPr>
                <w:rFonts w:ascii="Arial" w:cs="Arial" w:eastAsia="Arial" w:hAnsi="Arial"/>
                <w:color w:val="1A1A2E"/>
                <w:sz w:val="20"/>
                <w:szCs w:val="20"/>
              </w:rPr>
              <w:t xml:space="preserve">Close contact with pregnant women or children (transfer risk) — requires strict precautions</w:t>
            </w:r>
          </w:p>
          <w:p>
            <w:pPr>
              <w:pStyle w:val="ListParagraph"/>
              <w:numPr>
                <w:ilvl w:val="0"/>
                <w:numId w:val="2"/>
              </w:numPr>
              <w:spacing w:before="0" w:after="0"/>
            </w:pPr>
            <w:r>
              <w:rPr>
                <w:rFonts w:ascii="Arial" w:cs="Arial" w:eastAsia="Arial" w:hAnsi="Arial"/>
                <w:color w:val="1A1A2E"/>
                <w:sz w:val="20"/>
                <w:szCs w:val="20"/>
              </w:rPr>
              <w:t xml:space="preserve">Significant skin disease or irritation at application sites</w:t>
            </w:r>
          </w:p>
        </w:tc>
      </w:tr>
    </w:tbl>
    <w:p>
      <w:pPr>
        <w:spacing w:before="0" w:after="200"/>
      </w:pPr>
    </w:p>
    <w:p>
      <w:pPr>
        <w:pStyle w:val="Heading2"/>
        <w:spacing w:before="160" w:after="80"/>
      </w:pPr>
      <w:r>
        <w:rPr>
          <w:rFonts w:ascii="Arial" w:cs="Arial" w:eastAsia="Arial" w:hAnsi="Arial"/>
          <w:b/>
          <w:bCs/>
          <w:color w:val="1A7A8C"/>
          <w:sz w:val="24"/>
          <w:szCs w:val="24"/>
        </w:rPr>
        <w:t xml:space="preserve">4.3  Anastrozole (Aromatase Inhibitor)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9360"/>
            <w:gridSpan w:val="2"/>
            <w:tcBorders>
              <w:top w:val="single" w:color="1A7A8C" w:sz="1"/>
              <w:left w:val="single" w:color="1A7A8C" w:sz="1"/>
              <w:bottom w:val="single" w:color="1A7A8C" w:sz="1"/>
              <w:right w:val="single" w:color="1A7A8C" w:sz="1"/>
            </w:tcBorders>
            <w:shd w:fill="1A7A8C" w:val="clear"/>
            <w:tcMar>
              <w:top w:type="dxa" w:w="70"/>
              <w:left w:type="dxa" w:w="140"/>
              <w:bottom w:type="dxa" w:w="70"/>
              <w:right w:type="dxa" w:w="80"/>
            </w:tcMar>
          </w:tcPr>
          <w:p>
            <w:pPr>
              <w:spacing w:before="0" w:after="0"/>
            </w:pPr>
            <w:r>
              <w:rPr>
                <w:rFonts w:ascii="Arial" w:cs="Arial" w:eastAsia="Arial" w:hAnsi="Arial"/>
                <w:b/>
                <w:bCs/>
                <w:color w:val="FFFFFF"/>
                <w:sz w:val="22"/>
                <w:szCs w:val="22"/>
              </w:rPr>
              <w:t xml:space="preserve">Anastrozole  —  Oral tablet — taken weekly or twice weekly (typically the day after testosterone injection).</w:t>
            </w:r>
          </w:p>
        </w:tc>
      </w:tr>
      <w:tr>
        <w:tc>
          <w:tcPr>
            <w:tcW w:type="dxa" w:w="20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Mechanism</w:t>
            </w:r>
          </w:p>
        </w:tc>
        <w:tc>
          <w:tcPr>
            <w:tcW w:type="dxa" w:w="73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Anastrozole inhibits the aromatase enzyme, which converts testosterone to estradiol. At low doses it partially reduces estradiol production to a more appropriate level. Note: complete estradiol suppression is NOT the goal — some estradiol is required for bone health, cardiovascular function, and libido.</w:t>
            </w:r>
          </w:p>
        </w:tc>
      </w:tr>
      <w:tr>
        <w:tc>
          <w:tcPr>
            <w:tcW w:type="dxa" w:w="20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Route &amp; Frequency</w:t>
            </w:r>
          </w:p>
        </w:tc>
        <w:tc>
          <w:tcPr>
            <w:tcW w:type="dxa" w:w="736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Oral tablet — taken weekly or twice weekly (typically the day after testosterone injection).</w:t>
            </w:r>
          </w:p>
        </w:tc>
      </w:tr>
      <w:tr>
        <w:tc>
          <w:tcPr>
            <w:tcW w:type="dxa" w:w="20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Potential Benefits</w:t>
            </w:r>
          </w:p>
        </w:tc>
        <w:tc>
          <w:tcPr>
            <w:tcW w:type="dxa" w:w="73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Reduces symptoms caused by elevated estradiol: breast tenderness, fluid retention, emotional lability</w:t>
            </w:r>
          </w:p>
          <w:p>
            <w:pPr>
              <w:pStyle w:val="ListParagraph"/>
              <w:numPr>
                <w:ilvl w:val="0"/>
                <w:numId w:val="2"/>
              </w:numPr>
              <w:spacing w:before="0" w:after="40"/>
            </w:pPr>
            <w:r>
              <w:rPr>
                <w:rFonts w:ascii="Arial" w:cs="Arial" w:eastAsia="Arial" w:hAnsi="Arial"/>
                <w:color w:val="1A1A2E"/>
                <w:sz w:val="20"/>
                <w:szCs w:val="20"/>
              </w:rPr>
              <w:t xml:space="preserve">May reduce or prevent gynecomastia</w:t>
            </w:r>
          </w:p>
          <w:p>
            <w:pPr>
              <w:pStyle w:val="ListParagraph"/>
              <w:numPr>
                <w:ilvl w:val="0"/>
                <w:numId w:val="2"/>
              </w:numPr>
              <w:spacing w:before="0" w:after="0"/>
            </w:pPr>
            <w:r>
              <w:rPr>
                <w:rFonts w:ascii="Arial" w:cs="Arial" w:eastAsia="Arial" w:hAnsi="Arial"/>
                <w:color w:val="1A1A2E"/>
                <w:sz w:val="20"/>
                <w:szCs w:val="20"/>
              </w:rPr>
              <w:t xml:space="preserve">Allows higher testosterone doses without estrogen-related side effects in some patients</w:t>
            </w:r>
          </w:p>
        </w:tc>
      </w:tr>
      <w:tr>
        <w:tc>
          <w:tcPr>
            <w:tcW w:type="dxa" w:w="20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Potential Side Effects &amp; Risks</w:t>
            </w:r>
          </w:p>
        </w:tc>
        <w:tc>
          <w:tcPr>
            <w:tcW w:type="dxa" w:w="736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Excessive estrogen suppression causing: joint pain, bone loss, fatigue, low libido, cognitive effects</w:t>
            </w:r>
          </w:p>
          <w:p>
            <w:pPr>
              <w:pStyle w:val="ListParagraph"/>
              <w:numPr>
                <w:ilvl w:val="0"/>
                <w:numId w:val="2"/>
              </w:numPr>
              <w:spacing w:before="0" w:after="40"/>
            </w:pPr>
            <w:r>
              <w:rPr>
                <w:rFonts w:ascii="Arial" w:cs="Arial" w:eastAsia="Arial" w:hAnsi="Arial"/>
                <w:color w:val="1A1A2E"/>
                <w:sz w:val="20"/>
                <w:szCs w:val="20"/>
              </w:rPr>
              <w:t xml:space="preserve">Anastrozole is used off-label in men on TRT — long-term safety data in this population are limited</w:t>
            </w:r>
          </w:p>
          <w:p>
            <w:pPr>
              <w:pStyle w:val="ListParagraph"/>
              <w:numPr>
                <w:ilvl w:val="0"/>
                <w:numId w:val="2"/>
              </w:numPr>
              <w:spacing w:before="0" w:after="40"/>
            </w:pPr>
            <w:r>
              <w:rPr>
                <w:rFonts w:ascii="Arial" w:cs="Arial" w:eastAsia="Arial" w:hAnsi="Arial"/>
                <w:color w:val="1A1A2E"/>
                <w:sz w:val="20"/>
                <w:szCs w:val="20"/>
              </w:rPr>
              <w:t xml:space="preserve">Elevated cholesterol (anastrozole may alter lipid profile)</w:t>
            </w:r>
          </w:p>
          <w:p>
            <w:pPr>
              <w:pStyle w:val="ListParagraph"/>
              <w:numPr>
                <w:ilvl w:val="0"/>
                <w:numId w:val="2"/>
              </w:numPr>
              <w:spacing w:before="0" w:after="40"/>
            </w:pPr>
            <w:r>
              <w:rPr>
                <w:rFonts w:ascii="Arial" w:cs="Arial" w:eastAsia="Arial" w:hAnsi="Arial"/>
                <w:color w:val="1A1A2E"/>
                <w:sz w:val="20"/>
                <w:szCs w:val="20"/>
              </w:rPr>
              <w:t xml:space="preserve">Mood changes</w:t>
            </w:r>
          </w:p>
          <w:p>
            <w:pPr>
              <w:pStyle w:val="ListParagraph"/>
              <w:numPr>
                <w:ilvl w:val="0"/>
                <w:numId w:val="2"/>
              </w:numPr>
              <w:spacing w:before="0" w:after="0"/>
            </w:pPr>
            <w:r>
              <w:rPr>
                <w:rFonts w:ascii="Arial" w:cs="Arial" w:eastAsia="Arial" w:hAnsi="Arial"/>
                <w:color w:val="1A1A2E"/>
                <w:sz w:val="20"/>
                <w:szCs w:val="20"/>
              </w:rPr>
              <w:t xml:space="preserve">Hot flushes if estradiol is over-suppressed</w:t>
            </w:r>
          </w:p>
        </w:tc>
      </w:tr>
      <w:tr>
        <w:tc>
          <w:tcPr>
            <w:tcW w:type="dxa" w:w="20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Contraindications</w:t>
            </w:r>
          </w:p>
        </w:tc>
        <w:tc>
          <w:tcPr>
            <w:tcW w:type="dxa" w:w="73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Known hypersensitivity to anastrozole</w:t>
            </w:r>
          </w:p>
          <w:p>
            <w:pPr>
              <w:pStyle w:val="ListParagraph"/>
              <w:numPr>
                <w:ilvl w:val="0"/>
                <w:numId w:val="2"/>
              </w:numPr>
              <w:spacing w:before="0" w:after="40"/>
            </w:pPr>
            <w:r>
              <w:rPr>
                <w:rFonts w:ascii="Arial" w:cs="Arial" w:eastAsia="Arial" w:hAnsi="Arial"/>
                <w:color w:val="1A1A2E"/>
                <w:sz w:val="20"/>
                <w:szCs w:val="20"/>
              </w:rPr>
              <w:t xml:space="preserve">Pre-existing significant osteoporosis — use with caution; DXA monitoring recommended</w:t>
            </w:r>
          </w:p>
          <w:p>
            <w:pPr>
              <w:pStyle w:val="ListParagraph"/>
              <w:numPr>
                <w:ilvl w:val="0"/>
                <w:numId w:val="2"/>
              </w:numPr>
              <w:spacing w:before="0" w:after="0"/>
            </w:pPr>
            <w:r>
              <w:rPr>
                <w:rFonts w:ascii="Arial" w:cs="Arial" w:eastAsia="Arial" w:hAnsi="Arial"/>
                <w:color w:val="1A1A2E"/>
                <w:sz w:val="20"/>
                <w:szCs w:val="20"/>
              </w:rPr>
              <w:t xml:space="preserve">Use in men not on testosterone therapy (not indicated)</w:t>
            </w:r>
          </w:p>
        </w:tc>
      </w:tr>
    </w:tbl>
    <w:p>
      <w:pPr>
        <w:spacing w:before="0" w:after="120"/>
      </w:pPr>
    </w:p>
    <w:tbl>
      <w:tblPr>
        <w:tblW w:type="dxa" w:w="9360"/>
        <w:tblBorders>
          <w:top w:val="none" w:color="FFFFFF" w:sz="0"/>
          <w:left w:val="single" w:color="D4860A"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EF9E7" w:val="clear"/>
            <w:tcMar>
              <w:top w:type="dxa" w:w="60"/>
              <w:left w:type="dxa" w:w="140"/>
              <w:bottom w:type="dxa" w:w="0"/>
              <w:right w:type="dxa" w:w="140"/>
            </w:tcMar>
          </w:tcPr>
          <w:p>
            <w:pPr>
              <w:spacing w:before="0" w:after="40"/>
            </w:pPr>
            <w:r>
              <w:rPr>
                <w:rFonts w:ascii="Arial" w:cs="Arial" w:eastAsia="Arial" w:hAnsi="Arial"/>
                <w:b/>
                <w:bCs/>
                <w:color w:val="D4860A"/>
                <w:sz w:val="20"/>
                <w:szCs w:val="20"/>
              </w:rPr>
              <w:t xml:space="preserve">Off-Label Use Notice — Anastrozole</w:t>
            </w:r>
          </w:p>
        </w:tc>
      </w:tr>
      <w:tr>
        <w:tc>
          <w:tcPr>
            <w:tcW w:type="dxa" w:w="9360"/>
            <w:tcBorders>
              <w:top w:val="none" w:color="FFFFFF" w:sz="0"/>
              <w:left w:val="none" w:color="FFFFFF" w:sz="0"/>
              <w:bottom w:val="none" w:color="FFFFFF" w:sz="0"/>
              <w:right w:val="none" w:color="FFFFFF" w:sz="0"/>
            </w:tcBorders>
            <w:shd w:fill="FEF9E7"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Anastrozole is approved by the FDA for use in breast cancer in women. Its use in men undergoing testosterone replacement therapy is off-label. The AUA Testosterone Deficiency Guidelines reference its use in this context. Your clinician will discuss the evidence, alternatives, and monitoring plan with you.</w:t>
            </w:r>
          </w:p>
        </w:tc>
      </w:tr>
    </w:tbl>
    <w:p>
      <w:pPr>
        <w:spacing w:before="0" w:after="200"/>
      </w:pPr>
    </w:p>
    <w:p>
      <w:pPr>
        <w:pStyle w:val="Heading2"/>
        <w:spacing w:before="160" w:after="80"/>
      </w:pPr>
      <w:r>
        <w:rPr>
          <w:rFonts w:ascii="Arial" w:cs="Arial" w:eastAsia="Arial" w:hAnsi="Arial"/>
          <w:b/>
          <w:bCs/>
          <w:color w:val="1A7A8C"/>
          <w:sz w:val="24"/>
          <w:szCs w:val="24"/>
        </w:rPr>
        <w:t xml:space="preserve">4.4  Human Chorionic Gonadotropin (hCG)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9360"/>
            <w:gridSpan w:val="2"/>
            <w:tcBorders>
              <w:top w:val="single" w:color="1A7A8C" w:sz="1"/>
              <w:left w:val="single" w:color="1A7A8C" w:sz="1"/>
              <w:bottom w:val="single" w:color="1A7A8C" w:sz="1"/>
              <w:right w:val="single" w:color="1A7A8C" w:sz="1"/>
            </w:tcBorders>
            <w:shd w:fill="1A7A8C" w:val="clear"/>
            <w:tcMar>
              <w:top w:type="dxa" w:w="70"/>
              <w:left w:type="dxa" w:w="140"/>
              <w:bottom w:type="dxa" w:w="70"/>
              <w:right w:type="dxa" w:w="80"/>
            </w:tcMar>
          </w:tcPr>
          <w:p>
            <w:pPr>
              <w:spacing w:before="0" w:after="0"/>
            </w:pPr>
            <w:r>
              <w:rPr>
                <w:rFonts w:ascii="Arial" w:cs="Arial" w:eastAsia="Arial" w:hAnsi="Arial"/>
                <w:b/>
                <w:bCs/>
                <w:color w:val="FFFFFF"/>
                <w:sz w:val="22"/>
                <w:szCs w:val="22"/>
              </w:rPr>
              <w:t xml:space="preserve">hCG  —  Subcutaneous injection — typically 1,000 IU once weekly. Cycling protocol: 8–10 weeks on, 4–8 weeks off.</w:t>
            </w:r>
          </w:p>
        </w:tc>
      </w:tr>
      <w:tr>
        <w:tc>
          <w:tcPr>
            <w:tcW w:type="dxa" w:w="20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Mechanism</w:t>
            </w:r>
          </w:p>
        </w:tc>
        <w:tc>
          <w:tcPr>
            <w:tcW w:type="dxa" w:w="73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hCG is a hormone that mimics luteinizing hormone (LH). During testosterone therapy, the pituitary stops producing LH, which causes the testes to reduce function. hCG signals the testes to continue producing testosterone locally and maintain their structure and size. It can also partially preserve sperm production.</w:t>
            </w:r>
          </w:p>
        </w:tc>
      </w:tr>
      <w:tr>
        <w:tc>
          <w:tcPr>
            <w:tcW w:type="dxa" w:w="20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Route &amp; Frequency</w:t>
            </w:r>
          </w:p>
        </w:tc>
        <w:tc>
          <w:tcPr>
            <w:tcW w:type="dxa" w:w="736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Subcutaneous injection — typically 1,000 IU once weekly. Cycling protocol: 8–10 weeks on, 4–8 weeks off.</w:t>
            </w:r>
          </w:p>
        </w:tc>
      </w:tr>
      <w:tr>
        <w:tc>
          <w:tcPr>
            <w:tcW w:type="dxa" w:w="20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Potential Benefits</w:t>
            </w:r>
          </w:p>
        </w:tc>
        <w:tc>
          <w:tcPr>
            <w:tcW w:type="dxa" w:w="73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Prevents or reduces testicular atrophy during testosterone therapy</w:t>
            </w:r>
          </w:p>
          <w:p>
            <w:pPr>
              <w:pStyle w:val="ListParagraph"/>
              <w:numPr>
                <w:ilvl w:val="0"/>
                <w:numId w:val="2"/>
              </w:numPr>
              <w:spacing w:before="0" w:after="40"/>
            </w:pPr>
            <w:r>
              <w:rPr>
                <w:rFonts w:ascii="Arial" w:cs="Arial" w:eastAsia="Arial" w:hAnsi="Arial"/>
                <w:color w:val="1A1A2E"/>
                <w:sz w:val="20"/>
                <w:szCs w:val="20"/>
              </w:rPr>
              <w:t xml:space="preserve">Maintains intratesticular testosterone, which is important for sperm production</w:t>
            </w:r>
          </w:p>
          <w:p>
            <w:pPr>
              <w:pStyle w:val="ListParagraph"/>
              <w:numPr>
                <w:ilvl w:val="0"/>
                <w:numId w:val="2"/>
              </w:numPr>
              <w:spacing w:before="0" w:after="40"/>
            </w:pPr>
            <w:r>
              <w:rPr>
                <w:rFonts w:ascii="Arial" w:cs="Arial" w:eastAsia="Arial" w:hAnsi="Arial"/>
                <w:color w:val="1A1A2E"/>
                <w:sz w:val="20"/>
                <w:szCs w:val="20"/>
              </w:rPr>
              <w:t xml:space="preserve">Partially preserves fertility during TRT (though not a reliable contraceptive)</w:t>
            </w:r>
          </w:p>
          <w:p>
            <w:pPr>
              <w:pStyle w:val="ListParagraph"/>
              <w:numPr>
                <w:ilvl w:val="0"/>
                <w:numId w:val="2"/>
              </w:numPr>
              <w:spacing w:before="0" w:after="40"/>
            </w:pPr>
            <w:r>
              <w:rPr>
                <w:rFonts w:ascii="Arial" w:cs="Arial" w:eastAsia="Arial" w:hAnsi="Arial"/>
                <w:color w:val="1A1A2E"/>
                <w:sz w:val="20"/>
                <w:szCs w:val="20"/>
              </w:rPr>
              <w:t xml:space="preserve">Some patients report improved mood and libido with hCG compared to testosterone alone</w:t>
            </w:r>
          </w:p>
          <w:p>
            <w:pPr>
              <w:pStyle w:val="ListParagraph"/>
              <w:numPr>
                <w:ilvl w:val="0"/>
                <w:numId w:val="2"/>
              </w:numPr>
              <w:spacing w:before="0" w:after="0"/>
            </w:pPr>
            <w:r>
              <w:rPr>
                <w:rFonts w:ascii="Arial" w:cs="Arial" w:eastAsia="Arial" w:hAnsi="Arial"/>
                <w:color w:val="1A1A2E"/>
                <w:sz w:val="20"/>
                <w:szCs w:val="20"/>
              </w:rPr>
              <w:t xml:space="preserve">Supports testicular function during on-cycle rest periods</w:t>
            </w:r>
          </w:p>
        </w:tc>
      </w:tr>
      <w:tr>
        <w:tc>
          <w:tcPr>
            <w:tcW w:type="dxa" w:w="20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Potential Side Effects &amp; Risks</w:t>
            </w:r>
          </w:p>
        </w:tc>
        <w:tc>
          <w:tcPr>
            <w:tcW w:type="dxa" w:w="736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Injection site reactions (redness, soreness, bruising)</w:t>
            </w:r>
          </w:p>
          <w:p>
            <w:pPr>
              <w:pStyle w:val="ListParagraph"/>
              <w:numPr>
                <w:ilvl w:val="0"/>
                <w:numId w:val="2"/>
              </w:numPr>
              <w:spacing w:before="0" w:after="40"/>
            </w:pPr>
            <w:r>
              <w:rPr>
                <w:rFonts w:ascii="Arial" w:cs="Arial" w:eastAsia="Arial" w:hAnsi="Arial"/>
                <w:color w:val="1A1A2E"/>
                <w:sz w:val="20"/>
                <w:szCs w:val="20"/>
              </w:rPr>
              <w:t xml:space="preserve">Elevated estradiol — hCG stimulates testicular estrogen production; anastrozole may be needed</w:t>
            </w:r>
          </w:p>
          <w:p>
            <w:pPr>
              <w:pStyle w:val="ListParagraph"/>
              <w:numPr>
                <w:ilvl w:val="0"/>
                <w:numId w:val="2"/>
              </w:numPr>
              <w:spacing w:before="0" w:after="40"/>
            </w:pPr>
            <w:r>
              <w:rPr>
                <w:rFonts w:ascii="Arial" w:cs="Arial" w:eastAsia="Arial" w:hAnsi="Arial"/>
                <w:color w:val="1A1A2E"/>
                <w:sz w:val="20"/>
                <w:szCs w:val="20"/>
              </w:rPr>
              <w:t xml:space="preserve">Acne</w:t>
            </w:r>
          </w:p>
          <w:p>
            <w:pPr>
              <w:pStyle w:val="ListParagraph"/>
              <w:numPr>
                <w:ilvl w:val="0"/>
                <w:numId w:val="2"/>
              </w:numPr>
              <w:spacing w:before="0" w:after="40"/>
            </w:pPr>
            <w:r>
              <w:rPr>
                <w:rFonts w:ascii="Arial" w:cs="Arial" w:eastAsia="Arial" w:hAnsi="Arial"/>
                <w:color w:val="1A1A2E"/>
                <w:sz w:val="20"/>
                <w:szCs w:val="20"/>
              </w:rPr>
              <w:t xml:space="preserve">Receptor desensitization with continuous use — hence the cycling protocol</w:t>
            </w:r>
          </w:p>
          <w:p>
            <w:pPr>
              <w:pStyle w:val="ListParagraph"/>
              <w:numPr>
                <w:ilvl w:val="0"/>
                <w:numId w:val="2"/>
              </w:numPr>
              <w:spacing w:before="0" w:after="40"/>
            </w:pPr>
            <w:r>
              <w:rPr>
                <w:rFonts w:ascii="Arial" w:cs="Arial" w:eastAsia="Arial" w:hAnsi="Arial"/>
                <w:color w:val="1A1A2E"/>
                <w:sz w:val="20"/>
                <w:szCs w:val="20"/>
              </w:rPr>
              <w:t xml:space="preserve">Mood changes</w:t>
            </w:r>
          </w:p>
          <w:p>
            <w:pPr>
              <w:pStyle w:val="ListParagraph"/>
              <w:numPr>
                <w:ilvl w:val="0"/>
                <w:numId w:val="2"/>
              </w:numPr>
              <w:spacing w:before="0" w:after="0"/>
            </w:pPr>
            <w:r>
              <w:rPr>
                <w:rFonts w:ascii="Arial" w:cs="Arial" w:eastAsia="Arial" w:hAnsi="Arial"/>
                <w:color w:val="1A1A2E"/>
                <w:sz w:val="20"/>
                <w:szCs w:val="20"/>
              </w:rPr>
              <w:t xml:space="preserve">Gynecomastia (via elevated estradiol or direct breast tissue stimulation)</w:t>
            </w:r>
          </w:p>
        </w:tc>
      </w:tr>
      <w:tr>
        <w:tc>
          <w:tcPr>
            <w:tcW w:type="dxa" w:w="20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Contraindications</w:t>
            </w:r>
          </w:p>
        </w:tc>
        <w:tc>
          <w:tcPr>
            <w:tcW w:type="dxa" w:w="73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Known hypersensitivity to hCG</w:t>
            </w:r>
          </w:p>
          <w:p>
            <w:pPr>
              <w:pStyle w:val="ListParagraph"/>
              <w:numPr>
                <w:ilvl w:val="0"/>
                <w:numId w:val="2"/>
              </w:numPr>
              <w:spacing w:before="0" w:after="40"/>
            </w:pPr>
            <w:r>
              <w:rPr>
                <w:rFonts w:ascii="Arial" w:cs="Arial" w:eastAsia="Arial" w:hAnsi="Arial"/>
                <w:color w:val="1A1A2E"/>
                <w:sz w:val="20"/>
                <w:szCs w:val="20"/>
              </w:rPr>
              <w:t xml:space="preserve">Androgen-sensitive tumors</w:t>
            </w:r>
          </w:p>
          <w:p>
            <w:pPr>
              <w:pStyle w:val="ListParagraph"/>
              <w:numPr>
                <w:ilvl w:val="0"/>
                <w:numId w:val="2"/>
              </w:numPr>
              <w:spacing w:before="0" w:after="0"/>
            </w:pPr>
            <w:r>
              <w:rPr>
                <w:rFonts w:ascii="Arial" w:cs="Arial" w:eastAsia="Arial" w:hAnsi="Arial"/>
                <w:color w:val="1A1A2E"/>
                <w:sz w:val="20"/>
                <w:szCs w:val="20"/>
              </w:rPr>
              <w:t xml:space="preserve">Precocious puberty (not applicable to adult men)</w:t>
            </w:r>
          </w:p>
        </w:tc>
      </w:tr>
    </w:tbl>
    <w:p>
      <w:pPr>
        <w:spacing w:before="0" w:after="120"/>
      </w:pPr>
    </w:p>
    <w:tbl>
      <w:tblPr>
        <w:tblW w:type="dxa" w:w="9360"/>
        <w:tblBorders>
          <w:top w:val="none" w:color="FFFFFF" w:sz="0"/>
          <w:left w:val="single" w:color="1A7A8C"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AF4F8" w:val="clear"/>
            <w:tcMar>
              <w:top w:type="dxa" w:w="60"/>
              <w:left w:type="dxa" w:w="140"/>
              <w:bottom w:type="dxa" w:w="0"/>
              <w:right w:type="dxa" w:w="140"/>
            </w:tcMar>
          </w:tcPr>
          <w:p>
            <w:pPr>
              <w:spacing w:before="0" w:after="40"/>
            </w:pPr>
            <w:r>
              <w:rPr>
                <w:rFonts w:ascii="Arial" w:cs="Arial" w:eastAsia="Arial" w:hAnsi="Arial"/>
                <w:b/>
                <w:bCs/>
                <w:color w:val="1A7A8C"/>
                <w:sz w:val="20"/>
                <w:szCs w:val="20"/>
              </w:rPr>
              <w:t xml:space="preserve">hCG and Fertility</w:t>
            </w:r>
          </w:p>
        </w:tc>
      </w:tr>
      <w:tr>
        <w:tc>
          <w:tcPr>
            <w:tcW w:type="dxa" w:w="9360"/>
            <w:tcBorders>
              <w:top w:val="none" w:color="FFFFFF" w:sz="0"/>
              <w:left w:val="none" w:color="FFFFFF" w:sz="0"/>
              <w:bottom w:val="none" w:color="FFFFFF" w:sz="0"/>
              <w:right w:val="none" w:color="FFFFFF" w:sz="0"/>
            </w:tcBorders>
            <w:shd w:fill="EAF4F8"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hCG can partially maintain sperm production during testosterone therapy, but it is not a reliable method of fertility preservation. Patients who wish to father children should discuss this explicitly with their clinician before starting any testosterone therapy. Sperm banking prior to treatment is an option.</w:t>
            </w:r>
          </w:p>
        </w:tc>
      </w:tr>
    </w:tbl>
    <w:p>
      <w:pPr>
        <w:spacing w:before="0" w:after="200"/>
      </w:pPr>
    </w:p>
    <w:p>
      <w:pPr>
        <w:pStyle w:val="Heading2"/>
        <w:spacing w:before="160" w:after="80"/>
      </w:pPr>
      <w:r>
        <w:rPr>
          <w:rFonts w:ascii="Arial" w:cs="Arial" w:eastAsia="Arial" w:hAnsi="Arial"/>
          <w:b/>
          <w:bCs/>
          <w:color w:val="1A7A8C"/>
          <w:sz w:val="24"/>
          <w:szCs w:val="24"/>
        </w:rPr>
        <w:t xml:space="preserve">4.5  Clomiphene Citrate (Clomid®)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9360"/>
            <w:gridSpan w:val="2"/>
            <w:tcBorders>
              <w:top w:val="single" w:color="1A7A8C" w:sz="1"/>
              <w:left w:val="single" w:color="1A7A8C" w:sz="1"/>
              <w:bottom w:val="single" w:color="1A7A8C" w:sz="1"/>
              <w:right w:val="single" w:color="1A7A8C" w:sz="1"/>
            </w:tcBorders>
            <w:shd w:fill="1A7A8C" w:val="clear"/>
            <w:tcMar>
              <w:top w:type="dxa" w:w="70"/>
              <w:left w:type="dxa" w:w="140"/>
              <w:bottom w:type="dxa" w:w="70"/>
              <w:right w:type="dxa" w:w="80"/>
            </w:tcMar>
          </w:tcPr>
          <w:p>
            <w:pPr>
              <w:spacing w:before="0" w:after="0"/>
            </w:pPr>
            <w:r>
              <w:rPr>
                <w:rFonts w:ascii="Arial" w:cs="Arial" w:eastAsia="Arial" w:hAnsi="Arial"/>
                <w:b/>
                <w:bCs/>
                <w:color w:val="FFFFFF"/>
                <w:sz w:val="22"/>
                <w:szCs w:val="22"/>
              </w:rPr>
              <w:t xml:space="preserve">Clomiphene Citrate  —  Oral tablet — 25–50 mg daily or on alternate days.</w:t>
            </w:r>
          </w:p>
        </w:tc>
      </w:tr>
      <w:tr>
        <w:tc>
          <w:tcPr>
            <w:tcW w:type="dxa" w:w="20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Mechanism</w:t>
            </w:r>
          </w:p>
        </w:tc>
        <w:tc>
          <w:tcPr>
            <w:tcW w:type="dxa" w:w="73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Clomiphene is a selective estrogen receptor modulator (SERM). It blocks estrogen receptors in the hypothalamus and pituitary, tricking the brain into perceiving low estrogen and releasing more FSH and LH. This stimulates the testes to produce more testosterone naturally. Unlike exogenous testosterone, clomiphene preserves the hypothalamic-pituitary-gonadal (HPG) axis and sperm production.</w:t>
            </w:r>
          </w:p>
        </w:tc>
      </w:tr>
      <w:tr>
        <w:tc>
          <w:tcPr>
            <w:tcW w:type="dxa" w:w="20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Route &amp; Frequency</w:t>
            </w:r>
          </w:p>
        </w:tc>
        <w:tc>
          <w:tcPr>
            <w:tcW w:type="dxa" w:w="736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Oral tablet — 25–50 mg daily or on alternate days.</w:t>
            </w:r>
          </w:p>
        </w:tc>
      </w:tr>
      <w:tr>
        <w:tc>
          <w:tcPr>
            <w:tcW w:type="dxa" w:w="20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Potential Benefits</w:t>
            </w:r>
          </w:p>
        </w:tc>
        <w:tc>
          <w:tcPr>
            <w:tcW w:type="dxa" w:w="73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Raises testosterone using the body’s own production — does not suppress the HPG axis</w:t>
            </w:r>
          </w:p>
          <w:p>
            <w:pPr>
              <w:pStyle w:val="ListParagraph"/>
              <w:numPr>
                <w:ilvl w:val="0"/>
                <w:numId w:val="2"/>
              </w:numPr>
              <w:spacing w:before="0" w:after="40"/>
            </w:pPr>
            <w:r>
              <w:rPr>
                <w:rFonts w:ascii="Arial" w:cs="Arial" w:eastAsia="Arial" w:hAnsi="Arial"/>
                <w:color w:val="1A1A2E"/>
                <w:sz w:val="20"/>
                <w:szCs w:val="20"/>
              </w:rPr>
              <w:t xml:space="preserve">Preserves or improves sperm production and fertility</w:t>
            </w:r>
          </w:p>
          <w:p>
            <w:pPr>
              <w:pStyle w:val="ListParagraph"/>
              <w:numPr>
                <w:ilvl w:val="0"/>
                <w:numId w:val="2"/>
              </w:numPr>
              <w:spacing w:before="0" w:after="40"/>
            </w:pPr>
            <w:r>
              <w:rPr>
                <w:rFonts w:ascii="Arial" w:cs="Arial" w:eastAsia="Arial" w:hAnsi="Arial"/>
                <w:color w:val="1A1A2E"/>
                <w:sz w:val="20"/>
                <w:szCs w:val="20"/>
              </w:rPr>
              <w:t xml:space="preserve">Oral medication — no injections required</w:t>
            </w:r>
          </w:p>
          <w:p>
            <w:pPr>
              <w:pStyle w:val="ListParagraph"/>
              <w:numPr>
                <w:ilvl w:val="0"/>
                <w:numId w:val="2"/>
              </w:numPr>
              <w:spacing w:before="0" w:after="40"/>
            </w:pPr>
            <w:r>
              <w:rPr>
                <w:rFonts w:ascii="Arial" w:cs="Arial" w:eastAsia="Arial" w:hAnsi="Arial"/>
                <w:color w:val="1A1A2E"/>
                <w:sz w:val="20"/>
                <w:szCs w:val="20"/>
              </w:rPr>
              <w:t xml:space="preserve">Testicular size maintained</w:t>
            </w:r>
          </w:p>
          <w:p>
            <w:pPr>
              <w:pStyle w:val="ListParagraph"/>
              <w:numPr>
                <w:ilvl w:val="0"/>
                <w:numId w:val="2"/>
              </w:numPr>
              <w:spacing w:before="0" w:after="0"/>
            </w:pPr>
            <w:r>
              <w:rPr>
                <w:rFonts w:ascii="Arial" w:cs="Arial" w:eastAsia="Arial" w:hAnsi="Arial"/>
                <w:color w:val="1A1A2E"/>
                <w:sz w:val="20"/>
                <w:szCs w:val="20"/>
              </w:rPr>
              <w:t xml:space="preserve">May be preferred for younger men or those with fertility goals</w:t>
            </w:r>
          </w:p>
        </w:tc>
      </w:tr>
      <w:tr>
        <w:tc>
          <w:tcPr>
            <w:tcW w:type="dxa" w:w="20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Potential Side Effects &amp; Risks</w:t>
            </w:r>
          </w:p>
        </w:tc>
        <w:tc>
          <w:tcPr>
            <w:tcW w:type="dxa" w:w="736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Visual disturbances (blurred vision, light sensitivity) — rare but requires immediate reporting</w:t>
            </w:r>
          </w:p>
          <w:p>
            <w:pPr>
              <w:pStyle w:val="ListParagraph"/>
              <w:numPr>
                <w:ilvl w:val="0"/>
                <w:numId w:val="2"/>
              </w:numPr>
              <w:spacing w:before="0" w:after="40"/>
            </w:pPr>
            <w:r>
              <w:rPr>
                <w:rFonts w:ascii="Arial" w:cs="Arial" w:eastAsia="Arial" w:hAnsi="Arial"/>
                <w:color w:val="1A1A2E"/>
                <w:sz w:val="20"/>
                <w:szCs w:val="20"/>
              </w:rPr>
              <w:t xml:space="preserve">Mood changes, irritability, depression</w:t>
            </w:r>
          </w:p>
          <w:p>
            <w:pPr>
              <w:pStyle w:val="ListParagraph"/>
              <w:numPr>
                <w:ilvl w:val="0"/>
                <w:numId w:val="2"/>
              </w:numPr>
              <w:spacing w:before="0" w:after="40"/>
            </w:pPr>
            <w:r>
              <w:rPr>
                <w:rFonts w:ascii="Arial" w:cs="Arial" w:eastAsia="Arial" w:hAnsi="Arial"/>
                <w:color w:val="1A1A2E"/>
                <w:sz w:val="20"/>
                <w:szCs w:val="20"/>
              </w:rPr>
              <w:t xml:space="preserve">Elevated estradiol (clomiphene raises LH and FSH, which in turn raises both testosterone and estrogen)</w:t>
            </w:r>
          </w:p>
          <w:p>
            <w:pPr>
              <w:pStyle w:val="ListParagraph"/>
              <w:numPr>
                <w:ilvl w:val="0"/>
                <w:numId w:val="2"/>
              </w:numPr>
              <w:spacing w:before="0" w:after="40"/>
            </w:pPr>
            <w:r>
              <w:rPr>
                <w:rFonts w:ascii="Arial" w:cs="Arial" w:eastAsia="Arial" w:hAnsi="Arial"/>
                <w:color w:val="1A1A2E"/>
                <w:sz w:val="20"/>
                <w:szCs w:val="20"/>
              </w:rPr>
              <w:t xml:space="preserve">Headaches</w:t>
            </w:r>
          </w:p>
          <w:p>
            <w:pPr>
              <w:pStyle w:val="ListParagraph"/>
              <w:numPr>
                <w:ilvl w:val="0"/>
                <w:numId w:val="2"/>
              </w:numPr>
              <w:spacing w:before="0" w:after="40"/>
            </w:pPr>
            <w:r>
              <w:rPr>
                <w:rFonts w:ascii="Arial" w:cs="Arial" w:eastAsia="Arial" w:hAnsi="Arial"/>
                <w:color w:val="1A1A2E"/>
                <w:sz w:val="20"/>
                <w:szCs w:val="20"/>
              </w:rPr>
              <w:t xml:space="preserve">Hot flushes</w:t>
            </w:r>
          </w:p>
          <w:p>
            <w:pPr>
              <w:pStyle w:val="ListParagraph"/>
              <w:numPr>
                <w:ilvl w:val="0"/>
                <w:numId w:val="2"/>
              </w:numPr>
              <w:spacing w:before="0" w:after="40"/>
            </w:pPr>
            <w:r>
              <w:rPr>
                <w:rFonts w:ascii="Arial" w:cs="Arial" w:eastAsia="Arial" w:hAnsi="Arial"/>
                <w:color w:val="1A1A2E"/>
                <w:sz w:val="20"/>
                <w:szCs w:val="20"/>
              </w:rPr>
              <w:t xml:space="preserve">Gynecomastia (due to elevated estradiol)</w:t>
            </w:r>
          </w:p>
          <w:p>
            <w:pPr>
              <w:pStyle w:val="ListParagraph"/>
              <w:numPr>
                <w:ilvl w:val="0"/>
                <w:numId w:val="2"/>
              </w:numPr>
              <w:spacing w:before="0" w:after="40"/>
            </w:pPr>
            <w:r>
              <w:rPr>
                <w:rFonts w:ascii="Arial" w:cs="Arial" w:eastAsia="Arial" w:hAnsi="Arial"/>
                <w:color w:val="1A1A2E"/>
                <w:sz w:val="20"/>
                <w:szCs w:val="20"/>
              </w:rPr>
              <w:t xml:space="preserve">Clomiphene is used off-label in men — it is approved for ovulation induction in women</w:t>
            </w:r>
          </w:p>
          <w:p>
            <w:pPr>
              <w:pStyle w:val="ListParagraph"/>
              <w:numPr>
                <w:ilvl w:val="0"/>
                <w:numId w:val="2"/>
              </w:numPr>
              <w:spacing w:before="0" w:after="0"/>
            </w:pPr>
            <w:r>
              <w:rPr>
                <w:rFonts w:ascii="Arial" w:cs="Arial" w:eastAsia="Arial" w:hAnsi="Arial"/>
                <w:color w:val="1A1A2E"/>
                <w:sz w:val="20"/>
                <w:szCs w:val="20"/>
              </w:rPr>
              <w:t xml:space="preserve">Long-term data in men are limited; not recommended as indefinite therapy without monitoring</w:t>
            </w:r>
          </w:p>
        </w:tc>
      </w:tr>
      <w:tr>
        <w:tc>
          <w:tcPr>
            <w:tcW w:type="dxa" w:w="20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Contraindications</w:t>
            </w:r>
          </w:p>
        </w:tc>
        <w:tc>
          <w:tcPr>
            <w:tcW w:type="dxa" w:w="73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Known hypersensitivity to clomiphene</w:t>
            </w:r>
          </w:p>
          <w:p>
            <w:pPr>
              <w:pStyle w:val="ListParagraph"/>
              <w:numPr>
                <w:ilvl w:val="0"/>
                <w:numId w:val="2"/>
              </w:numPr>
              <w:spacing w:before="0" w:after="40"/>
            </w:pPr>
            <w:r>
              <w:rPr>
                <w:rFonts w:ascii="Arial" w:cs="Arial" w:eastAsia="Arial" w:hAnsi="Arial"/>
                <w:color w:val="1A1A2E"/>
                <w:sz w:val="20"/>
                <w:szCs w:val="20"/>
              </w:rPr>
              <w:t xml:space="preserve">Liver disease or abnormal liver function</w:t>
            </w:r>
          </w:p>
          <w:p>
            <w:pPr>
              <w:pStyle w:val="ListParagraph"/>
              <w:numPr>
                <w:ilvl w:val="0"/>
                <w:numId w:val="2"/>
              </w:numPr>
              <w:spacing w:before="0" w:after="40"/>
            </w:pPr>
            <w:r>
              <w:rPr>
                <w:rFonts w:ascii="Arial" w:cs="Arial" w:eastAsia="Arial" w:hAnsi="Arial"/>
                <w:color w:val="1A1A2E"/>
                <w:sz w:val="20"/>
                <w:szCs w:val="20"/>
              </w:rPr>
              <w:t xml:space="preserve">Pre-existing visual disturbances</w:t>
            </w:r>
          </w:p>
          <w:p>
            <w:pPr>
              <w:pStyle w:val="ListParagraph"/>
              <w:numPr>
                <w:ilvl w:val="0"/>
                <w:numId w:val="2"/>
              </w:numPr>
              <w:spacing w:before="0" w:after="40"/>
            </w:pPr>
            <w:r>
              <w:rPr>
                <w:rFonts w:ascii="Arial" w:cs="Arial" w:eastAsia="Arial" w:hAnsi="Arial"/>
                <w:color w:val="1A1A2E"/>
                <w:sz w:val="20"/>
                <w:szCs w:val="20"/>
              </w:rPr>
              <w:t xml:space="preserve">Primary hypogonadism (testicular failure) — clomiphene requires a functioning pituitary-testicular axis</w:t>
            </w:r>
          </w:p>
          <w:p>
            <w:pPr>
              <w:pStyle w:val="ListParagraph"/>
              <w:numPr>
                <w:ilvl w:val="0"/>
                <w:numId w:val="2"/>
              </w:numPr>
              <w:spacing w:before="0" w:after="0"/>
            </w:pPr>
            <w:r>
              <w:rPr>
                <w:rFonts w:ascii="Arial" w:cs="Arial" w:eastAsia="Arial" w:hAnsi="Arial"/>
                <w:color w:val="1A1A2E"/>
                <w:sz w:val="20"/>
                <w:szCs w:val="20"/>
              </w:rPr>
              <w:t xml:space="preserve">Testosterone deficiency due to primary testicular failure (clomiphene will not be effective)</w:t>
            </w:r>
          </w:p>
        </w:tc>
      </w:tr>
    </w:tbl>
    <w:p>
      <w:pPr>
        <w:spacing w:before="0" w:after="120"/>
      </w:pPr>
    </w:p>
    <w:tbl>
      <w:tblPr>
        <w:tblW w:type="dxa" w:w="9360"/>
        <w:tblBorders>
          <w:top w:val="none" w:color="FFFFFF" w:sz="0"/>
          <w:left w:val="single" w:color="D4860A"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EF9E7" w:val="clear"/>
            <w:tcMar>
              <w:top w:type="dxa" w:w="60"/>
              <w:left w:type="dxa" w:w="140"/>
              <w:bottom w:type="dxa" w:w="0"/>
              <w:right w:type="dxa" w:w="140"/>
            </w:tcMar>
          </w:tcPr>
          <w:p>
            <w:pPr>
              <w:spacing w:before="0" w:after="40"/>
            </w:pPr>
            <w:r>
              <w:rPr>
                <w:rFonts w:ascii="Arial" w:cs="Arial" w:eastAsia="Arial" w:hAnsi="Arial"/>
                <w:b/>
                <w:bCs/>
                <w:color w:val="D4860A"/>
                <w:sz w:val="20"/>
                <w:szCs w:val="20"/>
              </w:rPr>
              <w:t xml:space="preserve">Off-Label Use Notice — Clomiphene Citrate</w:t>
            </w:r>
          </w:p>
        </w:tc>
      </w:tr>
      <w:tr>
        <w:tc>
          <w:tcPr>
            <w:tcW w:type="dxa" w:w="9360"/>
            <w:tcBorders>
              <w:top w:val="none" w:color="FFFFFF" w:sz="0"/>
              <w:left w:val="none" w:color="FFFFFF" w:sz="0"/>
              <w:bottom w:val="none" w:color="FFFFFF" w:sz="0"/>
              <w:right w:val="none" w:color="FFFFFF" w:sz="0"/>
            </w:tcBorders>
            <w:shd w:fill="FEF9E7"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Clomiphene citrate is FDA-approved for ovulation induction in women. Its use in men with testosterone deficiency is off-label. Evidence supports its effectiveness for raising testosterone in men with secondary hypogonadism, and it is discussed in the medical literature as a fertility-preserving alternative to exogenous testosterone. Your clinician will review the evidence with you.</w:t>
            </w:r>
          </w:p>
        </w:tc>
      </w:tr>
    </w:tbl>
    <w:p>
      <w:pPr>
        <w:spacing w:before="0" w:after="200"/>
      </w:pPr>
    </w:p>
    <w:p>
      <w:pPr>
        <w:pStyle w:val="Heading2"/>
        <w:spacing w:before="160" w:after="80"/>
      </w:pPr>
      <w:r>
        <w:rPr>
          <w:rFonts w:ascii="Arial" w:cs="Arial" w:eastAsia="Arial" w:hAnsi="Arial"/>
          <w:b/>
          <w:bCs/>
          <w:color w:val="1A7A8C"/>
          <w:sz w:val="24"/>
          <w:szCs w:val="24"/>
        </w:rPr>
        <w:t xml:space="preserve">4.6  Enclomiphene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9360"/>
            <w:gridSpan w:val="2"/>
            <w:tcBorders>
              <w:top w:val="single" w:color="1A7A8C" w:sz="1"/>
              <w:left w:val="single" w:color="1A7A8C" w:sz="1"/>
              <w:bottom w:val="single" w:color="1A7A8C" w:sz="1"/>
              <w:right w:val="single" w:color="1A7A8C" w:sz="1"/>
            </w:tcBorders>
            <w:shd w:fill="1A7A8C" w:val="clear"/>
            <w:tcMar>
              <w:top w:type="dxa" w:w="70"/>
              <w:left w:type="dxa" w:w="140"/>
              <w:bottom w:type="dxa" w:w="70"/>
              <w:right w:type="dxa" w:w="80"/>
            </w:tcMar>
          </w:tcPr>
          <w:p>
            <w:pPr>
              <w:spacing w:before="0" w:after="0"/>
            </w:pPr>
            <w:r>
              <w:rPr>
                <w:rFonts w:ascii="Arial" w:cs="Arial" w:eastAsia="Arial" w:hAnsi="Arial"/>
                <w:b/>
                <w:bCs/>
                <w:color w:val="FFFFFF"/>
                <w:sz w:val="22"/>
                <w:szCs w:val="22"/>
              </w:rPr>
              <w:t xml:space="preserve">Enclomiphene  —  Oral tablet — 12.5–25 mg once daily.</w:t>
            </w:r>
          </w:p>
        </w:tc>
      </w:tr>
      <w:tr>
        <w:tc>
          <w:tcPr>
            <w:tcW w:type="dxa" w:w="20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Mechanism</w:t>
            </w:r>
          </w:p>
        </w:tc>
        <w:tc>
          <w:tcPr>
            <w:tcW w:type="dxa" w:w="73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Clomiphene consists of two mirror-image molecules (isomers): zuclomiphene and enclomiphene. Enclomiphene is the trans-isomer that provides most of the LH/FSH-stimulating effect. By removing the zuclomiphene component (which has weak estrogenic activity and accumulates in the body), enclomiphene may offer a cleaner hormonal profile with potentially fewer mood and estrogen-related side effects compared to mixed clomiphene.</w:t>
            </w:r>
          </w:p>
        </w:tc>
      </w:tr>
      <w:tr>
        <w:tc>
          <w:tcPr>
            <w:tcW w:type="dxa" w:w="20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Route &amp; Frequency</w:t>
            </w:r>
          </w:p>
        </w:tc>
        <w:tc>
          <w:tcPr>
            <w:tcW w:type="dxa" w:w="736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Oral tablet — 12.5–25 mg once daily.</w:t>
            </w:r>
          </w:p>
        </w:tc>
      </w:tr>
      <w:tr>
        <w:tc>
          <w:tcPr>
            <w:tcW w:type="dxa" w:w="20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Potential Benefits</w:t>
            </w:r>
          </w:p>
        </w:tc>
        <w:tc>
          <w:tcPr>
            <w:tcW w:type="dxa" w:w="73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Stimulates the body’s own testosterone production (same HPG-axis mechanism as clomiphene)</w:t>
            </w:r>
          </w:p>
          <w:p>
            <w:pPr>
              <w:pStyle w:val="ListParagraph"/>
              <w:numPr>
                <w:ilvl w:val="0"/>
                <w:numId w:val="2"/>
              </w:numPr>
              <w:spacing w:before="0" w:after="40"/>
            </w:pPr>
            <w:r>
              <w:rPr>
                <w:rFonts w:ascii="Arial" w:cs="Arial" w:eastAsia="Arial" w:hAnsi="Arial"/>
                <w:color w:val="1A1A2E"/>
                <w:sz w:val="20"/>
                <w:szCs w:val="20"/>
              </w:rPr>
              <w:t xml:space="preserve">Preserves sperm production and fertility</w:t>
            </w:r>
          </w:p>
          <w:p>
            <w:pPr>
              <w:pStyle w:val="ListParagraph"/>
              <w:numPr>
                <w:ilvl w:val="0"/>
                <w:numId w:val="2"/>
              </w:numPr>
              <w:spacing w:before="0" w:after="40"/>
            </w:pPr>
            <w:r>
              <w:rPr>
                <w:rFonts w:ascii="Arial" w:cs="Arial" w:eastAsia="Arial" w:hAnsi="Arial"/>
                <w:color w:val="1A1A2E"/>
                <w:sz w:val="20"/>
                <w:szCs w:val="20"/>
              </w:rPr>
              <w:t xml:space="preserve">Oral medication — no injections required</w:t>
            </w:r>
          </w:p>
          <w:p>
            <w:pPr>
              <w:pStyle w:val="ListParagraph"/>
              <w:numPr>
                <w:ilvl w:val="0"/>
                <w:numId w:val="2"/>
              </w:numPr>
              <w:spacing w:before="0" w:after="40"/>
            </w:pPr>
            <w:r>
              <w:rPr>
                <w:rFonts w:ascii="Arial" w:cs="Arial" w:eastAsia="Arial" w:hAnsi="Arial"/>
                <w:color w:val="1A1A2E"/>
                <w:sz w:val="20"/>
                <w:szCs w:val="20"/>
              </w:rPr>
              <w:t xml:space="preserve">Potentially fewer estrogenic side effects than clomiphene (eliminates the zuclomiphene isomer)</w:t>
            </w:r>
          </w:p>
          <w:p>
            <w:pPr>
              <w:pStyle w:val="ListParagraph"/>
              <w:numPr>
                <w:ilvl w:val="0"/>
                <w:numId w:val="2"/>
              </w:numPr>
              <w:spacing w:before="0" w:after="40"/>
            </w:pPr>
            <w:r>
              <w:rPr>
                <w:rFonts w:ascii="Arial" w:cs="Arial" w:eastAsia="Arial" w:hAnsi="Arial"/>
                <w:color w:val="1A1A2E"/>
                <w:sz w:val="20"/>
                <w:szCs w:val="20"/>
              </w:rPr>
              <w:t xml:space="preserve">More predictable pharmacokinetics than clomiphene</w:t>
            </w:r>
          </w:p>
          <w:p>
            <w:pPr>
              <w:pStyle w:val="ListParagraph"/>
              <w:numPr>
                <w:ilvl w:val="0"/>
                <w:numId w:val="2"/>
              </w:numPr>
              <w:spacing w:before="0" w:after="0"/>
            </w:pPr>
            <w:r>
              <w:rPr>
                <w:rFonts w:ascii="Arial" w:cs="Arial" w:eastAsia="Arial" w:hAnsi="Arial"/>
                <w:color w:val="1A1A2E"/>
                <w:sz w:val="20"/>
                <w:szCs w:val="20"/>
              </w:rPr>
              <w:t xml:space="preserve">May be preferred over clomiphene for patients who experienced mood or estrogen-related side effects on clomiphene</w:t>
            </w:r>
          </w:p>
        </w:tc>
      </w:tr>
      <w:tr>
        <w:tc>
          <w:tcPr>
            <w:tcW w:type="dxa" w:w="20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Potential Side Effects &amp; Risks</w:t>
            </w:r>
          </w:p>
        </w:tc>
        <w:tc>
          <w:tcPr>
            <w:tcW w:type="dxa" w:w="736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Visual disturbances — less common than with clomiphene but still requires reporting</w:t>
            </w:r>
          </w:p>
          <w:p>
            <w:pPr>
              <w:pStyle w:val="ListParagraph"/>
              <w:numPr>
                <w:ilvl w:val="0"/>
                <w:numId w:val="2"/>
              </w:numPr>
              <w:spacing w:before="0" w:after="40"/>
            </w:pPr>
            <w:r>
              <w:rPr>
                <w:rFonts w:ascii="Arial" w:cs="Arial" w:eastAsia="Arial" w:hAnsi="Arial"/>
                <w:color w:val="1A1A2E"/>
                <w:sz w:val="20"/>
                <w:szCs w:val="20"/>
              </w:rPr>
              <w:t xml:space="preserve">Headache</w:t>
            </w:r>
          </w:p>
          <w:p>
            <w:pPr>
              <w:pStyle w:val="ListParagraph"/>
              <w:numPr>
                <w:ilvl w:val="0"/>
                <w:numId w:val="2"/>
              </w:numPr>
              <w:spacing w:before="0" w:after="40"/>
            </w:pPr>
            <w:r>
              <w:rPr>
                <w:rFonts w:ascii="Arial" w:cs="Arial" w:eastAsia="Arial" w:hAnsi="Arial"/>
                <w:color w:val="1A1A2E"/>
                <w:sz w:val="20"/>
                <w:szCs w:val="20"/>
              </w:rPr>
              <w:t xml:space="preserve">Nausea</w:t>
            </w:r>
          </w:p>
          <w:p>
            <w:pPr>
              <w:pStyle w:val="ListParagraph"/>
              <w:numPr>
                <w:ilvl w:val="0"/>
                <w:numId w:val="2"/>
              </w:numPr>
              <w:spacing w:before="0" w:after="40"/>
            </w:pPr>
            <w:r>
              <w:rPr>
                <w:rFonts w:ascii="Arial" w:cs="Arial" w:eastAsia="Arial" w:hAnsi="Arial"/>
                <w:color w:val="1A1A2E"/>
                <w:sz w:val="20"/>
                <w:szCs w:val="20"/>
              </w:rPr>
              <w:t xml:space="preserve">Mood changes (typically milder than clomiphene)</w:t>
            </w:r>
          </w:p>
          <w:p>
            <w:pPr>
              <w:pStyle w:val="ListParagraph"/>
              <w:numPr>
                <w:ilvl w:val="0"/>
                <w:numId w:val="2"/>
              </w:numPr>
              <w:spacing w:before="0" w:after="40"/>
            </w:pPr>
            <w:r>
              <w:rPr>
                <w:rFonts w:ascii="Arial" w:cs="Arial" w:eastAsia="Arial" w:hAnsi="Arial"/>
                <w:color w:val="1A1A2E"/>
                <w:sz w:val="20"/>
                <w:szCs w:val="20"/>
              </w:rPr>
              <w:t xml:space="preserve">Not FDA-approved — enclomiphene is an investigational or compounded medication in the United States; availability may be limited</w:t>
            </w:r>
          </w:p>
          <w:p>
            <w:pPr>
              <w:pStyle w:val="ListParagraph"/>
              <w:numPr>
                <w:ilvl w:val="0"/>
                <w:numId w:val="2"/>
              </w:numPr>
              <w:spacing w:before="0" w:after="0"/>
            </w:pPr>
            <w:r>
              <w:rPr>
                <w:rFonts w:ascii="Arial" w:cs="Arial" w:eastAsia="Arial" w:hAnsi="Arial"/>
                <w:color w:val="1A1A2E"/>
                <w:sz w:val="20"/>
                <w:szCs w:val="20"/>
              </w:rPr>
              <w:t xml:space="preserve">Long-term safety and efficacy data are more limited than for clomiphene or exogenous testosterone</w:t>
            </w:r>
          </w:p>
        </w:tc>
      </w:tr>
      <w:tr>
        <w:tc>
          <w:tcPr>
            <w:tcW w:type="dxa" w:w="20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Contraindications</w:t>
            </w:r>
          </w:p>
        </w:tc>
        <w:tc>
          <w:tcPr>
            <w:tcW w:type="dxa" w:w="73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Same contraindications as clomiphene citrate</w:t>
            </w:r>
          </w:p>
          <w:p>
            <w:pPr>
              <w:pStyle w:val="ListParagraph"/>
              <w:numPr>
                <w:ilvl w:val="0"/>
                <w:numId w:val="2"/>
              </w:numPr>
              <w:spacing w:before="0" w:after="40"/>
            </w:pPr>
            <w:r>
              <w:rPr>
                <w:rFonts w:ascii="Arial" w:cs="Arial" w:eastAsia="Arial" w:hAnsi="Arial"/>
                <w:color w:val="1A1A2E"/>
                <w:sz w:val="20"/>
                <w:szCs w:val="20"/>
              </w:rPr>
              <w:t xml:space="preserve">Primary hypogonadism (testicular failure) — requires an intact HPG axis</w:t>
            </w:r>
          </w:p>
          <w:p>
            <w:pPr>
              <w:pStyle w:val="ListParagraph"/>
              <w:numPr>
                <w:ilvl w:val="0"/>
                <w:numId w:val="2"/>
              </w:numPr>
              <w:spacing w:before="0" w:after="0"/>
            </w:pPr>
            <w:r>
              <w:rPr>
                <w:rFonts w:ascii="Arial" w:cs="Arial" w:eastAsia="Arial" w:hAnsi="Arial"/>
                <w:color w:val="1A1A2E"/>
                <w:sz w:val="20"/>
                <w:szCs w:val="20"/>
              </w:rPr>
              <w:t xml:space="preserve">Known hypersensitivity to clomiphene or enclomiphene</w:t>
            </w:r>
          </w:p>
        </w:tc>
      </w:tr>
    </w:tbl>
    <w:p>
      <w:pPr>
        <w:spacing w:before="0" w:after="120"/>
      </w:pPr>
    </w:p>
    <w:tbl>
      <w:tblPr>
        <w:tblW w:type="dxa" w:w="9360"/>
        <w:tblBorders>
          <w:top w:val="none" w:color="FFFFFF" w:sz="0"/>
          <w:left w:val="single" w:color="D4860A"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EF9E7" w:val="clear"/>
            <w:tcMar>
              <w:top w:type="dxa" w:w="60"/>
              <w:left w:type="dxa" w:w="140"/>
              <w:bottom w:type="dxa" w:w="0"/>
              <w:right w:type="dxa" w:w="140"/>
            </w:tcMar>
          </w:tcPr>
          <w:p>
            <w:pPr>
              <w:spacing w:before="0" w:after="40"/>
            </w:pPr>
            <w:r>
              <w:rPr>
                <w:rFonts w:ascii="Arial" w:cs="Arial" w:eastAsia="Arial" w:hAnsi="Arial"/>
                <w:b/>
                <w:bCs/>
                <w:color w:val="D4860A"/>
                <w:sz w:val="20"/>
                <w:szCs w:val="20"/>
              </w:rPr>
              <w:t xml:space="preserve">Regulatory Status — Enclomiphene</w:t>
            </w:r>
          </w:p>
        </w:tc>
      </w:tr>
      <w:tr>
        <w:tc>
          <w:tcPr>
            <w:tcW w:type="dxa" w:w="9360"/>
            <w:tcBorders>
              <w:top w:val="none" w:color="FFFFFF" w:sz="0"/>
              <w:left w:val="none" w:color="FFFFFF" w:sz="0"/>
              <w:bottom w:val="none" w:color="FFFFFF" w:sz="0"/>
              <w:right w:val="none" w:color="FFFFFF" w:sz="0"/>
            </w:tcBorders>
            <w:shd w:fill="FEF9E7"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Enclomiphene is not currently FDA-approved as a standalone medication in the United States. It may be available through licensed compounding pharmacies or as part of ongoing clinical research. Your clinician will explain the current availability, regulatory status, and cost before prescribing.</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5.  The Option of No Treatment</w:t>
            </w:r>
          </w:p>
        </w:tc>
      </w:tr>
    </w:tbl>
    <w:p>
      <w:pPr>
        <w:spacing w:before="0" w:after="160"/>
      </w:pPr>
    </w:p>
    <w:p>
      <w:pPr>
        <w:spacing w:before="20" w:after="100"/>
      </w:pPr>
      <w:r>
        <w:rPr>
          <w:rFonts w:ascii="Arial" w:cs="Arial" w:eastAsia="Arial" w:hAnsi="Arial"/>
          <w:color w:val="1A1A2E"/>
          <w:sz w:val="22"/>
          <w:szCs w:val="22"/>
        </w:rPr>
        <w:t xml:space="preserve">You are not required to start any treatment. Choosing not to treat testosterone deficiency is a valid option. Your clinician can explain what symptoms may or may not improve without treatment, and what monitoring would be appropriate.</w:t>
      </w:r>
    </w:p>
    <w:p>
      <w:pPr>
        <w:spacing w:before="0" w:after="100"/>
      </w:pPr>
    </w:p>
    <w:p>
      <w:pPr>
        <w:spacing w:before="20" w:after="100"/>
      </w:pPr>
      <w:r>
        <w:rPr>
          <w:rFonts w:ascii="Arial" w:cs="Arial" w:eastAsia="Arial" w:hAnsi="Arial"/>
          <w:color w:val="1A1A2E"/>
          <w:sz w:val="22"/>
          <w:szCs w:val="22"/>
        </w:rPr>
        <w:t xml:space="preserve">Potential consequences of untreated testosterone deficiency over time may include:</w:t>
      </w:r>
    </w:p>
    <w:p>
      <w:pPr>
        <w:spacing w:before="0" w:after="80"/>
      </w:pPr>
    </w:p>
    <w:p>
      <w:pPr>
        <w:pStyle w:val="ListParagraph"/>
        <w:numPr>
          <w:ilvl w:val="0"/>
          <w:numId w:val="2"/>
        </w:numPr>
        <w:spacing w:before="20" w:after="60"/>
      </w:pPr>
      <w:r>
        <w:rPr>
          <w:rFonts w:ascii="Arial" w:cs="Arial" w:eastAsia="Arial" w:hAnsi="Arial"/>
          <w:color w:val="1A1A2E"/>
          <w:sz w:val="22"/>
          <w:szCs w:val="22"/>
        </w:rPr>
        <w:t xml:space="preserve">Continued or worsening fatigue, low mood, and reduced libido</w:t>
      </w:r>
    </w:p>
    <w:p>
      <w:pPr>
        <w:pStyle w:val="ListParagraph"/>
        <w:numPr>
          <w:ilvl w:val="0"/>
          <w:numId w:val="2"/>
        </w:numPr>
        <w:spacing w:before="20" w:after="60"/>
      </w:pPr>
      <w:r>
        <w:rPr>
          <w:rFonts w:ascii="Arial" w:cs="Arial" w:eastAsia="Arial" w:hAnsi="Arial"/>
          <w:color w:val="1A1A2E"/>
          <w:sz w:val="22"/>
          <w:szCs w:val="22"/>
        </w:rPr>
        <w:t xml:space="preserve">Reduced bone mineral density and increased fracture risk over time</w:t>
      </w:r>
    </w:p>
    <w:p>
      <w:pPr>
        <w:pStyle w:val="ListParagraph"/>
        <w:numPr>
          <w:ilvl w:val="0"/>
          <w:numId w:val="2"/>
        </w:numPr>
        <w:spacing w:before="20" w:after="60"/>
      </w:pPr>
      <w:r>
        <w:rPr>
          <w:rFonts w:ascii="Arial" w:cs="Arial" w:eastAsia="Arial" w:hAnsi="Arial"/>
          <w:color w:val="1A1A2E"/>
          <w:sz w:val="22"/>
          <w:szCs w:val="22"/>
        </w:rPr>
        <w:t xml:space="preserve">Loss of muscle mass and changes in body composition</w:t>
      </w:r>
    </w:p>
    <w:p>
      <w:pPr>
        <w:pStyle w:val="ListParagraph"/>
        <w:numPr>
          <w:ilvl w:val="0"/>
          <w:numId w:val="2"/>
        </w:numPr>
        <w:spacing w:before="20" w:after="60"/>
      </w:pPr>
      <w:r>
        <w:rPr>
          <w:rFonts w:ascii="Arial" w:cs="Arial" w:eastAsia="Arial" w:hAnsi="Arial"/>
          <w:color w:val="1A1A2E"/>
          <w:sz w:val="22"/>
          <w:szCs w:val="22"/>
        </w:rPr>
        <w:t xml:space="preserve">Metabolic changes including possible increased cardiovascular risk</w:t>
      </w:r>
    </w:p>
    <w:p>
      <w:pPr>
        <w:spacing w:before="0" w:after="120"/>
      </w:pPr>
    </w:p>
    <w:p>
      <w:pPr>
        <w:spacing w:before="20" w:after="100"/>
      </w:pPr>
      <w:r>
        <w:rPr>
          <w:rFonts w:ascii="Arial" w:cs="Arial" w:eastAsia="Arial" w:hAnsi="Arial"/>
          <w:color w:val="1A1A2E"/>
          <w:sz w:val="22"/>
          <w:szCs w:val="22"/>
        </w:rPr>
        <w:t xml:space="preserve">These risks vary by individual. Some men with mildly low testosterone experience few consequences without treatment. Your clinician will discuss your specific situation.</w:t>
      </w:r>
    </w:p>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6.  Monitoring During Treatment</w:t>
            </w:r>
          </w:p>
        </w:tc>
      </w:tr>
    </w:tbl>
    <w:p>
      <w:pPr>
        <w:spacing w:before="0" w:after="160"/>
      </w:pPr>
    </w:p>
    <w:p>
      <w:pPr>
        <w:spacing w:before="20" w:after="100"/>
      </w:pPr>
      <w:r>
        <w:rPr>
          <w:rFonts w:ascii="Arial" w:cs="Arial" w:eastAsia="Arial" w:hAnsi="Arial"/>
          <w:color w:val="1A1A2E"/>
          <w:sz w:val="22"/>
          <w:szCs w:val="22"/>
        </w:rPr>
        <w:t xml:space="preserve">All testosterone-based treatments require regular blood monitoring to ensure safety and to optimise your dose. Typical monitoring includes:</w:t>
      </w:r>
    </w:p>
    <w:p>
      <w:pPr>
        <w:spacing w:before="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200"/>
        <w:gridCol w:w="4360"/>
      </w:tblGrid>
      <w:tr>
        <w:tc>
          <w:tcPr>
            <w:tcW w:type="dxa" w:w="2800"/>
            <w:tcBorders>
              <w:top w:val="single" w:color="1B3A6B" w:sz="4"/>
              <w:left w:val="single" w:color="1B3A6B" w:sz="4"/>
              <w:bottom w:val="single" w:color="1B3A6B" w:sz="4"/>
              <w:right w:val="single" w:color="1B3A6B" w:sz="4"/>
            </w:tcBorders>
            <w:shd w:fill="1B3A6B" w:val="clear"/>
            <w:tcMar>
              <w:top w:type="dxa" w:w="80"/>
              <w:left w:type="dxa" w:w="120"/>
              <w:bottom w:type="dxa" w:w="80"/>
              <w:right w:type="dxa" w:w="80"/>
            </w:tcMar>
          </w:tcPr>
          <w:p>
            <w:pPr>
              <w:spacing w:before="0" w:after="0"/>
            </w:pPr>
            <w:r>
              <w:rPr>
                <w:rFonts w:ascii="Arial" w:cs="Arial" w:eastAsia="Arial" w:hAnsi="Arial"/>
                <w:b/>
                <w:bCs/>
                <w:color w:val="FFFFFF"/>
                <w:sz w:val="20"/>
                <w:szCs w:val="20"/>
              </w:rPr>
              <w:t xml:space="preserve">Test</w:t>
            </w:r>
          </w:p>
        </w:tc>
        <w:tc>
          <w:tcPr>
            <w:tcW w:type="dxa" w:w="2200"/>
            <w:tcBorders>
              <w:top w:val="single" w:color="1B3A6B" w:sz="4"/>
              <w:left w:val="single" w:color="1B3A6B" w:sz="4"/>
              <w:bottom w:val="single" w:color="1B3A6B" w:sz="4"/>
              <w:right w:val="single" w:color="1B3A6B" w:sz="4"/>
            </w:tcBorders>
            <w:shd w:fill="1B3A6B" w:val="clear"/>
            <w:tcMar>
              <w:top w:type="dxa" w:w="80"/>
              <w:left w:type="dxa" w:w="120"/>
              <w:bottom w:type="dxa" w:w="80"/>
              <w:right w:type="dxa" w:w="80"/>
            </w:tcMar>
          </w:tcPr>
          <w:p>
            <w:pPr>
              <w:spacing w:before="0" w:after="0"/>
            </w:pPr>
            <w:r>
              <w:rPr>
                <w:rFonts w:ascii="Arial" w:cs="Arial" w:eastAsia="Arial" w:hAnsi="Arial"/>
                <w:b/>
                <w:bCs/>
                <w:color w:val="FFFFFF"/>
                <w:sz w:val="20"/>
                <w:szCs w:val="20"/>
              </w:rPr>
              <w:t xml:space="preserve">Timing</w:t>
            </w:r>
          </w:p>
        </w:tc>
        <w:tc>
          <w:tcPr>
            <w:tcW w:type="dxa" w:w="4360"/>
            <w:tcBorders>
              <w:top w:val="single" w:color="1B3A6B" w:sz="4"/>
              <w:left w:val="single" w:color="1B3A6B" w:sz="4"/>
              <w:bottom w:val="single" w:color="1B3A6B" w:sz="4"/>
              <w:right w:val="single" w:color="1B3A6B" w:sz="4"/>
            </w:tcBorders>
            <w:shd w:fill="1B3A6B" w:val="clear"/>
            <w:tcMar>
              <w:top w:type="dxa" w:w="80"/>
              <w:left w:type="dxa" w:w="120"/>
              <w:bottom w:type="dxa" w:w="80"/>
              <w:right w:type="dxa" w:w="80"/>
            </w:tcMar>
          </w:tcPr>
          <w:p>
            <w:pPr>
              <w:spacing w:before="0" w:after="0"/>
            </w:pPr>
            <w:r>
              <w:rPr>
                <w:rFonts w:ascii="Arial" w:cs="Arial" w:eastAsia="Arial" w:hAnsi="Arial"/>
                <w:b/>
                <w:bCs/>
                <w:color w:val="FFFFFF"/>
                <w:sz w:val="20"/>
                <w:szCs w:val="20"/>
              </w:rPr>
              <w:t xml:space="preserve">Why It Matters</w:t>
            </w:r>
          </w:p>
        </w:tc>
      </w:tr>
      <w:tr>
        <w:tc>
          <w:tcPr>
            <w:tcW w:type="dxa" w:w="28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A7A8C"/>
                <w:sz w:val="20"/>
                <w:szCs w:val="20"/>
              </w:rPr>
              <w:t xml:space="preserve">Total Testosterone</w:t>
            </w:r>
          </w:p>
        </w:tc>
        <w:tc>
          <w:tcPr>
            <w:tcW w:type="dxa" w:w="22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Baseline; 7–8 weeks; then every 3–6 months</w:t>
            </w:r>
          </w:p>
        </w:tc>
        <w:tc>
          <w:tcPr>
            <w:tcW w:type="dxa" w:w="43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Confirm diagnosis and monitor treatment response</w:t>
            </w:r>
          </w:p>
        </w:tc>
      </w:tr>
      <w:tr>
        <w:tc>
          <w:tcPr>
            <w:tcW w:type="dxa" w:w="28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A7A8C"/>
                <w:sz w:val="20"/>
                <w:szCs w:val="20"/>
              </w:rPr>
              <w:t xml:space="preserve">Hematocrit / Hemoglobin</w:t>
            </w:r>
          </w:p>
        </w:tc>
        <w:tc>
          <w:tcPr>
            <w:tcW w:type="dxa" w:w="22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Baseline; 7–8 weeks; every 3–6 months on therapy</w:t>
            </w:r>
          </w:p>
        </w:tc>
        <w:tc>
          <w:tcPr>
            <w:tcW w:type="dxa" w:w="436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Detect erythrocytosis (Hct ≥ 54% requires intervention)</w:t>
            </w:r>
          </w:p>
        </w:tc>
      </w:tr>
      <w:tr>
        <w:tc>
          <w:tcPr>
            <w:tcW w:type="dxa" w:w="28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A7A8C"/>
                <w:sz w:val="20"/>
                <w:szCs w:val="20"/>
              </w:rPr>
              <w:t xml:space="preserve">Estradiol (E2)</w:t>
            </w:r>
          </w:p>
        </w:tc>
        <w:tc>
          <w:tcPr>
            <w:tcW w:type="dxa" w:w="22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Baseline; 7–8 weeks if symptomatic or on anastrozole</w:t>
            </w:r>
          </w:p>
        </w:tc>
        <w:tc>
          <w:tcPr>
            <w:tcW w:type="dxa" w:w="43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Monitor estrogen balance; guide anastrozole dosing</w:t>
            </w:r>
          </w:p>
        </w:tc>
      </w:tr>
      <w:tr>
        <w:tc>
          <w:tcPr>
            <w:tcW w:type="dxa" w:w="28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A7A8C"/>
                <w:sz w:val="20"/>
                <w:szCs w:val="20"/>
              </w:rPr>
              <w:t xml:space="preserve">PSA (Prostate Specific Antigen)</w:t>
            </w:r>
          </w:p>
        </w:tc>
        <w:tc>
          <w:tcPr>
            <w:tcW w:type="dxa" w:w="22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Baseline; at 3–12 months; annually thereafter</w:t>
            </w:r>
          </w:p>
        </w:tc>
        <w:tc>
          <w:tcPr>
            <w:tcW w:type="dxa" w:w="436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Prostate cancer screening; TRT may unmask subclinical disease</w:t>
            </w:r>
          </w:p>
        </w:tc>
      </w:tr>
      <w:tr>
        <w:tc>
          <w:tcPr>
            <w:tcW w:type="dxa" w:w="28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A7A8C"/>
                <w:sz w:val="20"/>
                <w:szCs w:val="20"/>
              </w:rPr>
              <w:t xml:space="preserve">LH / FSH</w:t>
            </w:r>
          </w:p>
        </w:tc>
        <w:tc>
          <w:tcPr>
            <w:tcW w:type="dxa" w:w="22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Baseline (confirm secondary hypogonadism); on clomiphene/enclomiphene</w:t>
            </w:r>
          </w:p>
        </w:tc>
        <w:tc>
          <w:tcPr>
            <w:tcW w:type="dxa" w:w="43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Assess HPG axis function; monitor response to SERMs</w:t>
            </w:r>
          </w:p>
        </w:tc>
      </w:tr>
      <w:tr>
        <w:tc>
          <w:tcPr>
            <w:tcW w:type="dxa" w:w="28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A7A8C"/>
                <w:sz w:val="20"/>
                <w:szCs w:val="20"/>
              </w:rPr>
              <w:t xml:space="preserve">Lipid Panel</w:t>
            </w:r>
          </w:p>
        </w:tc>
        <w:tc>
          <w:tcPr>
            <w:tcW w:type="dxa" w:w="22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Baseline; annually</w:t>
            </w:r>
          </w:p>
        </w:tc>
        <w:tc>
          <w:tcPr>
            <w:tcW w:type="dxa" w:w="436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Testosterone and anastrozole may affect cholesterol</w:t>
            </w:r>
          </w:p>
        </w:tc>
      </w:tr>
      <w:tr>
        <w:tc>
          <w:tcPr>
            <w:tcW w:type="dxa" w:w="28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A7A8C"/>
                <w:sz w:val="20"/>
                <w:szCs w:val="20"/>
              </w:rPr>
              <w:t xml:space="preserve">Liver Function Tests</w:t>
            </w:r>
          </w:p>
        </w:tc>
        <w:tc>
          <w:tcPr>
            <w:tcW w:type="dxa" w:w="22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Baseline; if on oral medications</w:t>
            </w:r>
          </w:p>
        </w:tc>
        <w:tc>
          <w:tcPr>
            <w:tcW w:type="dxa" w:w="43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Oral agents metabolised hepatically</w:t>
            </w:r>
          </w:p>
        </w:tc>
      </w:tr>
      <w:tr>
        <w:tc>
          <w:tcPr>
            <w:tcW w:type="dxa" w:w="28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A7A8C"/>
                <w:sz w:val="20"/>
                <w:szCs w:val="20"/>
              </w:rPr>
              <w:t xml:space="preserve">SHBG / Free Testosterone</w:t>
            </w:r>
          </w:p>
        </w:tc>
        <w:tc>
          <w:tcPr>
            <w:tcW w:type="dxa" w:w="22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As clinically indicated</w:t>
            </w:r>
          </w:p>
        </w:tc>
        <w:tc>
          <w:tcPr>
            <w:tcW w:type="dxa" w:w="436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Guides interpretation of total testosterone levels</w:t>
            </w:r>
          </w:p>
        </w:tc>
      </w:tr>
      <w:tr>
        <w:tc>
          <w:tcPr>
            <w:tcW w:type="dxa" w:w="28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A7A8C"/>
                <w:sz w:val="20"/>
                <w:szCs w:val="20"/>
              </w:rPr>
              <w:t xml:space="preserve">Semen Analysis</w:t>
            </w:r>
          </w:p>
        </w:tc>
        <w:tc>
          <w:tcPr>
            <w:tcW w:type="dxa" w:w="22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If fertility preservation is a goal</w:t>
            </w:r>
          </w:p>
        </w:tc>
        <w:tc>
          <w:tcPr>
            <w:tcW w:type="dxa" w:w="43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color w:val="1A1A2E"/>
                <w:sz w:val="20"/>
                <w:szCs w:val="20"/>
              </w:rPr>
              <w:t xml:space="preserve">Assess impact of therapy on sperm production</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7.  Special Considerations</w:t>
            </w:r>
          </w:p>
        </w:tc>
      </w:tr>
    </w:tbl>
    <w:p>
      <w:pPr>
        <w:spacing w:before="0" w:after="160"/>
      </w:pPr>
    </w:p>
    <w:p>
      <w:pPr>
        <w:pStyle w:val="Heading2"/>
        <w:spacing w:before="120" w:after="80"/>
      </w:pPr>
      <w:r>
        <w:rPr>
          <w:rFonts w:ascii="Arial" w:cs="Arial" w:eastAsia="Arial" w:hAnsi="Arial"/>
          <w:b/>
          <w:bCs/>
          <w:color w:val="1A7A8C"/>
          <w:sz w:val="24"/>
          <w:szCs w:val="24"/>
        </w:rPr>
        <w:t xml:space="preserve">7.1  Prostate Health</w:t>
      </w:r>
    </w:p>
    <w:p>
      <w:pPr>
        <w:spacing w:before="20" w:after="100"/>
      </w:pPr>
      <w:r>
        <w:rPr>
          <w:rFonts w:ascii="Arial" w:cs="Arial" w:eastAsia="Arial" w:hAnsi="Arial"/>
          <w:color w:val="1A1A2E"/>
          <w:sz w:val="22"/>
          <w:szCs w:val="22"/>
        </w:rPr>
        <w:t xml:space="preserve">Testosterone therapy may stimulate growth of prostate tissue and PSA levels. TRT is contraindicated in patients with known or suspected prostate cancer. Patients with a history of treated prostate cancer should discuss TRT only with both their urologist/oncologist and their prescribing clinician, as evidence is evolving. PSA will be monitored at baseline and at regular intervals during therapy.</w:t>
      </w:r>
    </w:p>
    <w:p>
      <w:pPr>
        <w:spacing w:before="0" w:after="160"/>
      </w:pPr>
    </w:p>
    <w:p>
      <w:pPr>
        <w:pStyle w:val="Heading2"/>
        <w:spacing w:before="120" w:after="80"/>
      </w:pPr>
      <w:r>
        <w:rPr>
          <w:rFonts w:ascii="Arial" w:cs="Arial" w:eastAsia="Arial" w:hAnsi="Arial"/>
          <w:b/>
          <w:bCs/>
          <w:color w:val="1A7A8C"/>
          <w:sz w:val="24"/>
          <w:szCs w:val="24"/>
        </w:rPr>
        <w:t xml:space="preserve">7.2  Cardiovascular Health</w:t>
      </w:r>
    </w:p>
    <w:p>
      <w:pPr>
        <w:spacing w:before="20" w:after="100"/>
      </w:pPr>
      <w:r>
        <w:rPr>
          <w:rFonts w:ascii="Arial" w:cs="Arial" w:eastAsia="Arial" w:hAnsi="Arial"/>
          <w:color w:val="1A1A2E"/>
          <w:sz w:val="22"/>
          <w:szCs w:val="22"/>
        </w:rPr>
        <w:t xml:space="preserve">The cardiovascular effects of testosterone therapy are well characterised by the TRAVERSE trial (2023), the largest randomised controlled trial of TRT to date. Testosterone therapy in men with established cardiovascular disease or high cardiovascular risk did not increase the rate of major adverse cardiovascular events compared to placebo (MACE rate 7.0% testosterone vs. 7.3% placebo). Based on these findings, the FDA removed the cardiovascular black box warning from all testosterone products in February 2025.</w:t>
      </w:r>
    </w:p>
    <w:p>
      <w:pPr>
        <w:spacing w:before="0" w:after="100"/>
      </w:pPr>
    </w:p>
    <w:tbl>
      <w:tblPr>
        <w:tblW w:type="dxa" w:w="9360"/>
        <w:tblBorders>
          <w:top w:val="none" w:color="FFFFFF" w:sz="0"/>
          <w:left w:val="single" w:color="D4860A"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EF9E7" w:val="clear"/>
            <w:tcMar>
              <w:top w:type="dxa" w:w="60"/>
              <w:left w:type="dxa" w:w="140"/>
              <w:bottom w:type="dxa" w:w="0"/>
              <w:right w:type="dxa" w:w="140"/>
            </w:tcMar>
          </w:tcPr>
          <w:p>
            <w:pPr>
              <w:spacing w:before="0" w:after="40"/>
            </w:pPr>
            <w:r>
              <w:rPr>
                <w:rFonts w:ascii="Arial" w:cs="Arial" w:eastAsia="Arial" w:hAnsi="Arial"/>
                <w:b/>
                <w:bCs/>
                <w:color w:val="D4860A"/>
                <w:sz w:val="20"/>
                <w:szCs w:val="20"/>
              </w:rPr>
              <w:t xml:space="preserve">⚠  FDA February 2025 — New Blood Pressure Monitoring Requirement</w:t>
            </w:r>
          </w:p>
        </w:tc>
      </w:tr>
      <w:tr>
        <w:tc>
          <w:tcPr>
            <w:tcW w:type="dxa" w:w="9360"/>
            <w:tcBorders>
              <w:top w:val="none" w:color="FFFFFF" w:sz="0"/>
              <w:left w:val="none" w:color="FFFFFF" w:sz="0"/>
              <w:bottom w:val="none" w:color="FFFFFF" w:sz="0"/>
              <w:right w:val="none" w:color="FFFFFF" w:sz="0"/>
            </w:tcBorders>
            <w:shd w:fill="FEF9E7"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While removing the cardiovascular black box warning, the FDA simultaneously mandated that all testosterone products include a blood pressure monitoring warning. Ambulatory blood pressure monitoring (ABPM) studies have shown mild but consistent blood pressure increases in some testosterone users. Revive will measure and record your blood pressure at baseline and at each follow-up visit. Notify your clinician if you develop headaches, vision changes, or other symptoms that may indicate elevated blood pressure.</w:t>
            </w:r>
          </w:p>
        </w:tc>
      </w:tr>
    </w:tbl>
    <w:p>
      <w:pPr>
        <w:spacing w:before="0" w:after="100"/>
      </w:pPr>
    </w:p>
    <w:p>
      <w:pPr>
        <w:spacing w:before="20" w:after="100"/>
      </w:pPr>
      <w:r>
        <w:rPr>
          <w:rFonts w:ascii="Arial" w:cs="Arial" w:eastAsia="Arial" w:hAnsi="Arial"/>
          <w:color w:val="1A1A2E"/>
          <w:sz w:val="22"/>
          <w:szCs w:val="22"/>
        </w:rPr>
        <w:t xml:space="preserve">TRT may also increase hematocrit, which can increase thrombosis risk in susceptible individuals. Patients with a recent cardiovascular event (within 3–6 months) should delay starting TRT.</w:t>
      </w:r>
    </w:p>
    <w:p>
      <w:pPr>
        <w:spacing w:before="0" w:after="160"/>
      </w:pPr>
    </w:p>
    <w:p>
      <w:pPr>
        <w:pStyle w:val="Heading2"/>
        <w:spacing w:before="120" w:after="80"/>
      </w:pPr>
      <w:r>
        <w:rPr>
          <w:rFonts w:ascii="Arial" w:cs="Arial" w:eastAsia="Arial" w:hAnsi="Arial"/>
          <w:b/>
          <w:bCs/>
          <w:color w:val="1A7A8C"/>
          <w:sz w:val="24"/>
          <w:szCs w:val="24"/>
        </w:rPr>
        <w:t xml:space="preserve">7.3  Fertility</w:t>
      </w:r>
    </w:p>
    <w:p>
      <w:pPr>
        <w:spacing w:before="20" w:after="100"/>
      </w:pPr>
      <w:r>
        <w:rPr>
          <w:rFonts w:ascii="Arial" w:cs="Arial" w:eastAsia="Arial" w:hAnsi="Arial"/>
          <w:color w:val="1A1A2E"/>
          <w:sz w:val="22"/>
          <w:szCs w:val="22"/>
        </w:rPr>
        <w:t xml:space="preserve">Exogenous testosterone (injection and topical) suppresses the pituitary signals (LH and FSH) that stimulate sperm production. Sperm production typically decreases significantly during testosterone therapy and may take months to years to recover after stopping. If you have any desire for biological children now or in the future, discuss this before starting therapy. Options include:</w:t>
      </w:r>
    </w:p>
    <w:p>
      <w:pPr>
        <w:spacing w:before="0" w:after="80"/>
      </w:pPr>
    </w:p>
    <w:p>
      <w:pPr>
        <w:pStyle w:val="ListParagraph"/>
        <w:numPr>
          <w:ilvl w:val="0"/>
          <w:numId w:val="2"/>
        </w:numPr>
        <w:spacing w:before="20" w:after="60"/>
      </w:pPr>
      <w:r>
        <w:rPr>
          <w:rFonts w:ascii="Arial" w:cs="Arial" w:eastAsia="Arial" w:hAnsi="Arial"/>
          <w:color w:val="1A1A2E"/>
          <w:sz w:val="22"/>
          <w:szCs w:val="22"/>
        </w:rPr>
        <w:t xml:space="preserve">Clomiphene or enclomiphene instead of exogenous testosterone (preserves HPG axis and sperm production)</w:t>
      </w:r>
    </w:p>
    <w:p>
      <w:pPr>
        <w:pStyle w:val="ListParagraph"/>
        <w:numPr>
          <w:ilvl w:val="0"/>
          <w:numId w:val="2"/>
        </w:numPr>
        <w:spacing w:before="20" w:after="60"/>
      </w:pPr>
      <w:r>
        <w:rPr>
          <w:rFonts w:ascii="Arial" w:cs="Arial" w:eastAsia="Arial" w:hAnsi="Arial"/>
          <w:color w:val="1A1A2E"/>
          <w:sz w:val="22"/>
          <w:szCs w:val="22"/>
        </w:rPr>
        <w:t xml:space="preserve">hCG co-administration during testosterone therapy (partially maintains intratesticular testosterone and sperm production)</w:t>
      </w:r>
    </w:p>
    <w:p>
      <w:pPr>
        <w:pStyle w:val="ListParagraph"/>
        <w:numPr>
          <w:ilvl w:val="0"/>
          <w:numId w:val="2"/>
        </w:numPr>
        <w:spacing w:before="20" w:after="60"/>
      </w:pPr>
      <w:r>
        <w:rPr>
          <w:rFonts w:ascii="Arial" w:cs="Arial" w:eastAsia="Arial" w:hAnsi="Arial"/>
          <w:color w:val="1A1A2E"/>
          <w:sz w:val="22"/>
          <w:szCs w:val="22"/>
        </w:rPr>
        <w:t xml:space="preserve">Sperm banking prior to starting exogenous testosterone</w:t>
      </w:r>
    </w:p>
    <w:p>
      <w:pPr>
        <w:spacing w:before="0" w:after="160"/>
      </w:pPr>
    </w:p>
    <w:p>
      <w:pPr>
        <w:pStyle w:val="Heading2"/>
        <w:spacing w:before="120" w:after="80"/>
      </w:pPr>
      <w:r>
        <w:rPr>
          <w:rFonts w:ascii="Arial" w:cs="Arial" w:eastAsia="Arial" w:hAnsi="Arial"/>
          <w:b/>
          <w:bCs/>
          <w:color w:val="1A7A8C"/>
          <w:sz w:val="24"/>
          <w:szCs w:val="24"/>
        </w:rPr>
        <w:t xml:space="preserve">7.4  Sleep Apnea</w:t>
      </w:r>
    </w:p>
    <w:p>
      <w:pPr>
        <w:spacing w:before="20" w:after="100"/>
      </w:pPr>
      <w:r>
        <w:rPr>
          <w:rFonts w:ascii="Arial" w:cs="Arial" w:eastAsia="Arial" w:hAnsi="Arial"/>
          <w:color w:val="1A1A2E"/>
          <w:sz w:val="22"/>
          <w:szCs w:val="22"/>
        </w:rPr>
        <w:t xml:space="preserve">Testosterone therapy may worsen obstructive sleep apnea (OSA) in some patients, though evidence for this association is not definitive. Patients with untreated severe OSA should have it addressed before starting TRT. Patients on CPAP therapy may start TRT with monitoring.</w:t>
      </w:r>
    </w:p>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8.  Patient Acknowledgements</w:t>
            </w:r>
          </w:p>
        </w:tc>
      </w:tr>
    </w:tbl>
    <w:p>
      <w:pPr>
        <w:spacing w:before="0" w:after="160"/>
      </w:pPr>
    </w:p>
    <w:p>
      <w:pPr>
        <w:spacing w:before="20" w:after="100"/>
      </w:pPr>
      <w:r>
        <w:rPr>
          <w:rFonts w:ascii="Arial" w:cs="Arial" w:eastAsia="Arial" w:hAnsi="Arial"/>
          <w:color w:val="1A1A2E"/>
          <w:sz w:val="22"/>
          <w:szCs w:val="22"/>
        </w:rPr>
        <w:t xml:space="preserve">By signing this form, I confirm that:</w:t>
      </w:r>
    </w:p>
    <w:p>
      <w:pPr>
        <w:spacing w:before="0" w:after="100"/>
      </w:pPr>
    </w:p>
    <w:p>
      <w:pPr>
        <w:pStyle w:val="ListParagraph"/>
        <w:numPr>
          <w:ilvl w:val="0"/>
          <w:numId w:val="3"/>
        </w:numPr>
        <w:spacing w:before="20" w:after="80"/>
      </w:pPr>
      <w:r>
        <w:rPr>
          <w:rFonts w:ascii="Arial" w:cs="Arial" w:eastAsia="Arial" w:hAnsi="Arial"/>
          <w:color w:val="1A1A2E"/>
          <w:sz w:val="22"/>
          <w:szCs w:val="22"/>
        </w:rPr>
        <w:t xml:space="preserve">I have read, or had read to me, this entire informed consent document.</w:t>
      </w:r>
    </w:p>
    <w:p>
      <w:pPr>
        <w:pStyle w:val="ListParagraph"/>
        <w:numPr>
          <w:ilvl w:val="0"/>
          <w:numId w:val="3"/>
        </w:numPr>
        <w:spacing w:before="20" w:after="80"/>
      </w:pPr>
      <w:r>
        <w:rPr>
          <w:rFonts w:ascii="Arial" w:cs="Arial" w:eastAsia="Arial" w:hAnsi="Arial"/>
          <w:color w:val="1A1A2E"/>
          <w:sz w:val="22"/>
          <w:szCs w:val="22"/>
        </w:rPr>
        <w:t xml:space="preserve">I have had the opportunity to ask questions and all my questions have been answered to my satisfaction.</w:t>
      </w:r>
    </w:p>
    <w:p>
      <w:pPr>
        <w:pStyle w:val="ListParagraph"/>
        <w:numPr>
          <w:ilvl w:val="0"/>
          <w:numId w:val="3"/>
        </w:numPr>
        <w:spacing w:before="20" w:after="80"/>
      </w:pPr>
      <w:r>
        <w:rPr>
          <w:rFonts w:ascii="Arial" w:cs="Arial" w:eastAsia="Arial" w:hAnsi="Arial"/>
          <w:color w:val="1A1A2E"/>
          <w:sz w:val="22"/>
          <w:szCs w:val="22"/>
        </w:rPr>
        <w:t xml:space="preserve">I understand my diagnosis of testosterone deficiency and the basis for the recommended treatment.</w:t>
      </w:r>
    </w:p>
    <w:p>
      <w:pPr>
        <w:pStyle w:val="ListParagraph"/>
        <w:numPr>
          <w:ilvl w:val="0"/>
          <w:numId w:val="3"/>
        </w:numPr>
        <w:spacing w:before="20" w:after="80"/>
      </w:pPr>
      <w:r>
        <w:rPr>
          <w:rFonts w:ascii="Arial" w:cs="Arial" w:eastAsia="Arial" w:hAnsi="Arial"/>
          <w:color w:val="1A1A2E"/>
          <w:sz w:val="22"/>
          <w:szCs w:val="22"/>
        </w:rPr>
        <w:t xml:space="preserve">I understand the treatment options available to me, including the option of no treatment.</w:t>
      </w:r>
    </w:p>
    <w:p>
      <w:pPr>
        <w:pStyle w:val="ListParagraph"/>
        <w:numPr>
          <w:ilvl w:val="0"/>
          <w:numId w:val="3"/>
        </w:numPr>
        <w:spacing w:before="20" w:after="80"/>
      </w:pPr>
      <w:r>
        <w:rPr>
          <w:rFonts w:ascii="Arial" w:cs="Arial" w:eastAsia="Arial" w:hAnsi="Arial"/>
          <w:color w:val="1A1A2E"/>
          <w:sz w:val="22"/>
          <w:szCs w:val="22"/>
        </w:rPr>
        <w:t xml:space="preserve">I understand the potential benefits, risks, side effects, and contraindications of the treatment(s) discussed.</w:t>
      </w:r>
    </w:p>
    <w:p>
      <w:pPr>
        <w:pStyle w:val="ListParagraph"/>
        <w:numPr>
          <w:ilvl w:val="0"/>
          <w:numId w:val="3"/>
        </w:numPr>
        <w:spacing w:before="20" w:after="80"/>
      </w:pPr>
      <w:r>
        <w:rPr>
          <w:rFonts w:ascii="Arial" w:cs="Arial" w:eastAsia="Arial" w:hAnsi="Arial"/>
          <w:color w:val="1A1A2E"/>
          <w:sz w:val="22"/>
          <w:szCs w:val="22"/>
        </w:rPr>
        <w:t xml:space="preserve">I understand that some medications discussed in this document are used off-label (particularly anastrozole, clomiphene, and enclomiphene in men) and that I have been informed of this.</w:t>
      </w:r>
    </w:p>
    <w:p>
      <w:pPr>
        <w:pStyle w:val="ListParagraph"/>
        <w:numPr>
          <w:ilvl w:val="0"/>
          <w:numId w:val="3"/>
        </w:numPr>
        <w:spacing w:before="20" w:after="80"/>
      </w:pPr>
      <w:r>
        <w:rPr>
          <w:rFonts w:ascii="Arial" w:cs="Arial" w:eastAsia="Arial" w:hAnsi="Arial"/>
          <w:color w:val="1A1A2E"/>
          <w:sz w:val="22"/>
          <w:szCs w:val="22"/>
        </w:rPr>
        <w:t xml:space="preserve">I understand that results vary between individuals and that no specific outcome can be guaranteed.</w:t>
      </w:r>
    </w:p>
    <w:p>
      <w:pPr>
        <w:pStyle w:val="ListParagraph"/>
        <w:numPr>
          <w:ilvl w:val="0"/>
          <w:numId w:val="3"/>
        </w:numPr>
        <w:spacing w:before="20" w:after="80"/>
      </w:pPr>
      <w:r>
        <w:rPr>
          <w:rFonts w:ascii="Arial" w:cs="Arial" w:eastAsia="Arial" w:hAnsi="Arial"/>
          <w:color w:val="1A1A2E"/>
          <w:sz w:val="22"/>
          <w:szCs w:val="22"/>
        </w:rPr>
        <w:t xml:space="preserve">I understand that I am required to attend follow-up appointments and complete recommended blood tests for my safety.</w:t>
      </w:r>
    </w:p>
    <w:p>
      <w:pPr>
        <w:pStyle w:val="ListParagraph"/>
        <w:numPr>
          <w:ilvl w:val="0"/>
          <w:numId w:val="3"/>
        </w:numPr>
        <w:spacing w:before="20" w:after="80"/>
      </w:pPr>
      <w:r>
        <w:rPr>
          <w:rFonts w:ascii="Arial" w:cs="Arial" w:eastAsia="Arial" w:hAnsi="Arial"/>
          <w:color w:val="1A1A2E"/>
          <w:sz w:val="22"/>
          <w:szCs w:val="22"/>
        </w:rPr>
        <w:t xml:space="preserve">I understand that I may withdraw my consent and discontinue treatment at any time without affecting my care at this clinic.</w:t>
      </w:r>
    </w:p>
    <w:p>
      <w:pPr>
        <w:pStyle w:val="ListParagraph"/>
        <w:numPr>
          <w:ilvl w:val="0"/>
          <w:numId w:val="3"/>
        </w:numPr>
        <w:spacing w:before="20" w:after="80"/>
      </w:pPr>
      <w:r>
        <w:rPr>
          <w:rFonts w:ascii="Arial" w:cs="Arial" w:eastAsia="Arial" w:hAnsi="Arial"/>
          <w:color w:val="1A1A2E"/>
          <w:sz w:val="22"/>
          <w:szCs w:val="22"/>
        </w:rPr>
        <w:t xml:space="preserve">I understand that my treatment plan may be adjusted over time based on my laboratory results and clinical response.</w:t>
      </w:r>
    </w:p>
    <w:p>
      <w:pPr>
        <w:pStyle w:val="ListParagraph"/>
        <w:numPr>
          <w:ilvl w:val="0"/>
          <w:numId w:val="3"/>
        </w:numPr>
        <w:spacing w:before="20" w:after="80"/>
      </w:pPr>
      <w:r>
        <w:rPr>
          <w:rFonts w:ascii="Arial" w:cs="Arial" w:eastAsia="Arial" w:hAnsi="Arial"/>
          <w:color w:val="1A1A2E"/>
          <w:sz w:val="22"/>
          <w:szCs w:val="22"/>
        </w:rPr>
        <w:t xml:space="preserve">I have disclosed all current medications, supplements, and relevant medical conditions to my clinician.</w:t>
      </w:r>
    </w:p>
    <w:p>
      <w:pPr>
        <w:pStyle w:val="ListParagraph"/>
        <w:numPr>
          <w:ilvl w:val="0"/>
          <w:numId w:val="3"/>
        </w:numPr>
        <w:spacing w:before="20" w:after="80"/>
      </w:pPr>
      <w:r>
        <w:rPr>
          <w:rFonts w:ascii="Arial" w:cs="Arial" w:eastAsia="Arial" w:hAnsi="Arial"/>
          <w:color w:val="1A1A2E"/>
          <w:sz w:val="22"/>
          <w:szCs w:val="22"/>
        </w:rPr>
        <w:t xml:space="preserve">I understand that testosterone is a Schedule III controlled substance regulated by the U.S. Drug Enforcement Administration (DEA). I agree to use it only as prescribed, store it securely, and not share, transfer, or sell it. I understand that Schedule III prescriptions are limited to a 90-day supply with up to five refills within a six-month period.</w:t>
      </w:r>
    </w:p>
    <w:p>
      <w:pPr>
        <w:pStyle w:val="ListParagraph"/>
        <w:numPr>
          <w:ilvl w:val="0"/>
          <w:numId w:val="3"/>
        </w:numPr>
        <w:spacing w:before="20" w:after="80"/>
      </w:pPr>
      <w:r>
        <w:rPr>
          <w:rFonts w:ascii="Arial" w:cs="Arial" w:eastAsia="Arial" w:hAnsi="Arial"/>
          <w:color w:val="1A1A2E"/>
          <w:sz w:val="22"/>
          <w:szCs w:val="22"/>
        </w:rPr>
        <w:t xml:space="preserve">I will disclose all concurrent medications, supplements, and other compounds I am taking to my clinician at every visit, including those not prescribed by Revive, to allow assessment of potential interactions.</w:t>
      </w:r>
    </w:p>
    <w:p>
      <w:pPr>
        <w:pStyle w:val="ListParagraph"/>
        <w:numPr>
          <w:ilvl w:val="0"/>
          <w:numId w:val="3"/>
        </w:numPr>
        <w:spacing w:before="20" w:after="80"/>
      </w:pPr>
      <w:r>
        <w:rPr>
          <w:rFonts w:ascii="Arial" w:cs="Arial" w:eastAsia="Arial" w:hAnsi="Arial"/>
          <w:color w:val="1A1A2E"/>
          <w:sz w:val="22"/>
          <w:szCs w:val="22"/>
        </w:rPr>
        <w:t xml:space="preserve">I consent to the treatment(s) as discussed and documented in my medical record.</w:t>
      </w:r>
    </w:p>
    <w:p>
      <w:pPr>
        <w:spacing w:before="0" w:after="240"/>
      </w:pPr>
    </w:p>
    <w:p>
      <w:pPr>
        <w:spacing w:before="0" w:after="80"/>
      </w:pPr>
      <w:r>
        <w:rPr>
          <w:rFonts w:ascii="Arial" w:cs="Arial" w:eastAsia="Arial" w:hAnsi="Arial"/>
          <w:b/>
          <w:bCs/>
          <w:color w:val="1B3A6B"/>
          <w:sz w:val="22"/>
          <w:szCs w:val="22"/>
        </w:rPr>
        <w:t xml:space="preserve">Patient Signature</w:t>
      </w:r>
    </w:p>
    <w:p>
      <w:pPr>
        <w:pBdr>
          <w:bottom w:val="single" w:color="BDC3C7" w:sz="3"/>
        </w:pBdr>
        <w:spacing w:before="0" w:after="0"/>
      </w:pPr>
    </w:p>
    <w:p>
      <w:pPr>
        <w:spacing w:before="0"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W w:type="dxa" w:w="5400"/>
            <w:tcBorders>
              <w:top w:val="none" w:color="FFFFFF" w:sz="0"/>
              <w:left w:val="none" w:color="FFFFFF" w:sz="0"/>
              <w:bottom w:val="none" w:color="FFFFFF" w:sz="0"/>
              <w:right w:val="none" w:color="FFFFFF" w:sz="0"/>
            </w:tcBorders>
            <w:tcMar>
              <w:top w:type="dxa" w:w="0"/>
              <w:left w:type="dxa" w:w="0"/>
              <w:bottom w:type="dxa" w:w="0"/>
              <w:right w:type="dxa" w:w="300"/>
            </w:tcMar>
          </w:tcPr>
          <w:p>
            <w:pPr>
              <w:spacing w:before="0" w:after="60"/>
            </w:pPr>
            <w:r>
              <w:rPr>
                <w:rFonts w:ascii="Arial" w:cs="Arial" w:eastAsia="Arial" w:hAnsi="Arial"/>
                <w:b/>
                <w:bCs/>
                <w:color w:val="888888"/>
                <w:sz w:val="19"/>
                <w:szCs w:val="19"/>
              </w:rPr>
              <w:t xml:space="preserve">Patient Signature</w:t>
            </w:r>
          </w:p>
          <w:p>
            <w:pPr>
              <w:pBdr>
                <w:bottom w:val="single" w:color="BDC3C7" w:sz="4"/>
              </w:pBdr>
              <w:spacing w:before="440" w:after="60"/>
            </w:pPr>
          </w:p>
        </w:tc>
        <w:tc>
          <w:tcPr>
            <w:tcW w:type="dxa" w:w="3960"/>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60"/>
            </w:pPr>
            <w:r>
              <w:rPr>
                <w:rFonts w:ascii="Arial" w:cs="Arial" w:eastAsia="Arial" w:hAnsi="Arial"/>
                <w:b/>
                <w:bCs/>
                <w:color w:val="888888"/>
                <w:sz w:val="19"/>
                <w:szCs w:val="19"/>
              </w:rPr>
              <w:t xml:space="preserve">Date</w:t>
            </w:r>
          </w:p>
          <w:p>
            <w:pPr>
              <w:pBdr>
                <w:bottom w:val="single" w:color="BDC3C7" w:sz="4"/>
              </w:pBdr>
              <w:spacing w:before="440" w:after="60"/>
            </w:pP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W w:type="dxa" w:w="5400"/>
            <w:tcBorders>
              <w:top w:val="none" w:color="FFFFFF" w:sz="0"/>
              <w:left w:val="none" w:color="FFFFFF" w:sz="0"/>
              <w:bottom w:val="none" w:color="FFFFFF" w:sz="0"/>
              <w:right w:val="none" w:color="FFFFFF" w:sz="0"/>
            </w:tcBorders>
            <w:tcMar>
              <w:top w:type="dxa" w:w="0"/>
              <w:left w:type="dxa" w:w="0"/>
              <w:bottom w:type="dxa" w:w="0"/>
              <w:right w:type="dxa" w:w="300"/>
            </w:tcMar>
          </w:tcPr>
          <w:p>
            <w:pPr>
              <w:spacing w:before="0" w:after="60"/>
            </w:pPr>
            <w:r>
              <w:rPr>
                <w:rFonts w:ascii="Arial" w:cs="Arial" w:eastAsia="Arial" w:hAnsi="Arial"/>
                <w:b/>
                <w:bCs/>
                <w:color w:val="888888"/>
                <w:sz w:val="19"/>
                <w:szCs w:val="19"/>
              </w:rPr>
              <w:t xml:space="preserve">Printed Name</w:t>
            </w:r>
          </w:p>
          <w:p>
            <w:pPr>
              <w:pBdr>
                <w:bottom w:val="single" w:color="BDC3C7" w:sz="4"/>
              </w:pBdr>
              <w:spacing w:before="440" w:after="60"/>
            </w:pPr>
          </w:p>
        </w:tc>
        <w:tc>
          <w:tcPr>
            <w:tcW w:type="dxa" w:w="3960"/>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60"/>
            </w:pPr>
            <w:r>
              <w:rPr>
                <w:rFonts w:ascii="Arial" w:cs="Arial" w:eastAsia="Arial" w:hAnsi="Arial"/>
                <w:b/>
                <w:bCs/>
                <w:color w:val="888888"/>
                <w:sz w:val="19"/>
                <w:szCs w:val="19"/>
              </w:rPr>
              <w:t xml:space="preserve">Date of Birth</w:t>
            </w:r>
          </w:p>
          <w:p>
            <w:pPr>
              <w:pBdr>
                <w:bottom w:val="single" w:color="BDC3C7" w:sz="4"/>
              </w:pBdr>
              <w:spacing w:before="440" w:after="60"/>
            </w:pPr>
          </w:p>
        </w:tc>
      </w:tr>
    </w:tbl>
    <w:p>
      <w:pPr>
        <w:spacing w:before="0" w:after="280"/>
      </w:pPr>
    </w:p>
    <w:p>
      <w:pPr>
        <w:spacing w:before="0" w:after="80"/>
      </w:pPr>
      <w:r>
        <w:rPr>
          <w:rFonts w:ascii="Arial" w:cs="Arial" w:eastAsia="Arial" w:hAnsi="Arial"/>
          <w:b/>
          <w:bCs/>
          <w:color w:val="1B3A6B"/>
          <w:sz w:val="22"/>
          <w:szCs w:val="22"/>
        </w:rPr>
        <w:t xml:space="preserve">Witness / Legally Authorised Representative (if applicable)</w:t>
      </w:r>
    </w:p>
    <w:p>
      <w:pPr>
        <w:pBdr>
          <w:bottom w:val="single" w:color="BDC3C7" w:sz="3"/>
        </w:pBdr>
        <w:spacing w:before="0" w:after="0"/>
      </w:pPr>
    </w:p>
    <w:p>
      <w:pPr>
        <w:spacing w:before="0"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W w:type="dxa" w:w="5400"/>
            <w:tcBorders>
              <w:top w:val="none" w:color="FFFFFF" w:sz="0"/>
              <w:left w:val="none" w:color="FFFFFF" w:sz="0"/>
              <w:bottom w:val="none" w:color="FFFFFF" w:sz="0"/>
              <w:right w:val="none" w:color="FFFFFF" w:sz="0"/>
            </w:tcBorders>
            <w:tcMar>
              <w:top w:type="dxa" w:w="0"/>
              <w:left w:type="dxa" w:w="0"/>
              <w:bottom w:type="dxa" w:w="0"/>
              <w:right w:type="dxa" w:w="300"/>
            </w:tcMar>
          </w:tcPr>
          <w:p>
            <w:pPr>
              <w:spacing w:before="0" w:after="60"/>
            </w:pPr>
            <w:r>
              <w:rPr>
                <w:rFonts w:ascii="Arial" w:cs="Arial" w:eastAsia="Arial" w:hAnsi="Arial"/>
                <w:b/>
                <w:bCs/>
                <w:color w:val="888888"/>
                <w:sz w:val="19"/>
                <w:szCs w:val="19"/>
              </w:rPr>
              <w:t xml:space="preserve">Witness / LAR Signature</w:t>
            </w:r>
          </w:p>
          <w:p>
            <w:pPr>
              <w:pBdr>
                <w:bottom w:val="single" w:color="BDC3C7" w:sz="4"/>
              </w:pBdr>
              <w:spacing w:before="440" w:after="60"/>
            </w:pPr>
          </w:p>
        </w:tc>
        <w:tc>
          <w:tcPr>
            <w:tcW w:type="dxa" w:w="3960"/>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60"/>
            </w:pPr>
            <w:r>
              <w:rPr>
                <w:rFonts w:ascii="Arial" w:cs="Arial" w:eastAsia="Arial" w:hAnsi="Arial"/>
                <w:b/>
                <w:bCs/>
                <w:color w:val="888888"/>
                <w:sz w:val="19"/>
                <w:szCs w:val="19"/>
              </w:rPr>
              <w:t xml:space="preserve">Relationship to Patient</w:t>
            </w:r>
          </w:p>
          <w:p>
            <w:pPr>
              <w:pBdr>
                <w:bottom w:val="single" w:color="BDC3C7" w:sz="4"/>
              </w:pBdr>
              <w:spacing w:before="440" w:after="60"/>
            </w:pPr>
          </w:p>
        </w:tc>
      </w:tr>
    </w:tbl>
    <w:p>
      <w:pPr>
        <w:spacing w:before="0" w:after="280"/>
      </w:pPr>
    </w:p>
    <w:p>
      <w:pPr>
        <w:spacing w:before="0" w:after="80"/>
      </w:pPr>
      <w:r>
        <w:rPr>
          <w:rFonts w:ascii="Arial" w:cs="Arial" w:eastAsia="Arial" w:hAnsi="Arial"/>
          <w:b/>
          <w:bCs/>
          <w:color w:val="1B3A6B"/>
          <w:sz w:val="22"/>
          <w:szCs w:val="22"/>
        </w:rPr>
        <w:t xml:space="preserve">Clinician Attestation</w:t>
      </w:r>
    </w:p>
    <w:p>
      <w:pPr>
        <w:pBdr>
          <w:bottom w:val="single" w:color="BDC3C7" w:sz="3"/>
        </w:pBdr>
        <w:spacing w:before="0" w:after="0"/>
      </w:pPr>
    </w:p>
    <w:p>
      <w:pPr>
        <w:spacing w:before="0" w:after="120"/>
      </w:pPr>
    </w:p>
    <w:p>
      <w:pPr>
        <w:spacing w:before="20" w:after="100"/>
      </w:pPr>
      <w:r>
        <w:rPr>
          <w:rFonts w:ascii="Arial" w:cs="Arial" w:eastAsia="Arial" w:hAnsi="Arial"/>
          <w:color w:val="1A1A2E"/>
          <w:sz w:val="22"/>
          <w:szCs w:val="22"/>
        </w:rPr>
        <w:t xml:space="preserve">I confirm that I have discussed the diagnosis, treatment options, risks, benefits, and alternatives with this patient. I have answered all questions to the best of my ability and believe this consent is informed and voluntary.</w:t>
      </w:r>
    </w:p>
    <w:p>
      <w:pPr>
        <w:spacing w:before="0"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W w:type="dxa" w:w="5400"/>
            <w:tcBorders>
              <w:top w:val="none" w:color="FFFFFF" w:sz="0"/>
              <w:left w:val="none" w:color="FFFFFF" w:sz="0"/>
              <w:bottom w:val="none" w:color="FFFFFF" w:sz="0"/>
              <w:right w:val="none" w:color="FFFFFF" w:sz="0"/>
            </w:tcBorders>
            <w:tcMar>
              <w:top w:type="dxa" w:w="0"/>
              <w:left w:type="dxa" w:w="0"/>
              <w:bottom w:type="dxa" w:w="0"/>
              <w:right w:type="dxa" w:w="300"/>
            </w:tcMar>
          </w:tcPr>
          <w:p>
            <w:pPr>
              <w:spacing w:before="0" w:after="60"/>
            </w:pPr>
            <w:r>
              <w:rPr>
                <w:rFonts w:ascii="Arial" w:cs="Arial" w:eastAsia="Arial" w:hAnsi="Arial"/>
                <w:b/>
                <w:bCs/>
                <w:color w:val="888888"/>
                <w:sz w:val="19"/>
                <w:szCs w:val="19"/>
              </w:rPr>
              <w:t xml:space="preserve">Clinician Signature</w:t>
            </w:r>
          </w:p>
          <w:p>
            <w:pPr>
              <w:pBdr>
                <w:bottom w:val="single" w:color="BDC3C7" w:sz="4"/>
              </w:pBdr>
              <w:spacing w:before="440" w:after="60"/>
            </w:pPr>
          </w:p>
        </w:tc>
        <w:tc>
          <w:tcPr>
            <w:tcW w:type="dxa" w:w="3960"/>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60"/>
            </w:pPr>
            <w:r>
              <w:rPr>
                <w:rFonts w:ascii="Arial" w:cs="Arial" w:eastAsia="Arial" w:hAnsi="Arial"/>
                <w:b/>
                <w:bCs/>
                <w:color w:val="888888"/>
                <w:sz w:val="19"/>
                <w:szCs w:val="19"/>
              </w:rPr>
              <w:t xml:space="preserve">Date</w:t>
            </w:r>
          </w:p>
          <w:p>
            <w:pPr>
              <w:pBdr>
                <w:bottom w:val="single" w:color="BDC3C7" w:sz="4"/>
              </w:pBdr>
              <w:spacing w:before="440" w:after="60"/>
            </w:pPr>
          </w:p>
        </w:tc>
      </w:tr>
    </w:tbl>
    <w:p>
      <w:pPr>
        <w:spacing w:before="0"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W w:type="dxa" w:w="5400"/>
            <w:tcBorders>
              <w:top w:val="none" w:color="FFFFFF" w:sz="0"/>
              <w:left w:val="none" w:color="FFFFFF" w:sz="0"/>
              <w:bottom w:val="none" w:color="FFFFFF" w:sz="0"/>
              <w:right w:val="none" w:color="FFFFFF" w:sz="0"/>
            </w:tcBorders>
            <w:tcMar>
              <w:top w:type="dxa" w:w="0"/>
              <w:left w:type="dxa" w:w="0"/>
              <w:bottom w:type="dxa" w:w="0"/>
              <w:right w:type="dxa" w:w="300"/>
            </w:tcMar>
          </w:tcPr>
          <w:p>
            <w:pPr>
              <w:spacing w:before="0" w:after="60"/>
            </w:pPr>
            <w:r>
              <w:rPr>
                <w:rFonts w:ascii="Arial" w:cs="Arial" w:eastAsia="Arial" w:hAnsi="Arial"/>
                <w:b/>
                <w:bCs/>
                <w:color w:val="888888"/>
                <w:sz w:val="19"/>
                <w:szCs w:val="19"/>
              </w:rPr>
              <w:t xml:space="preserve">Printed Name &amp; Credentials</w:t>
            </w:r>
          </w:p>
          <w:p>
            <w:pPr>
              <w:pBdr>
                <w:bottom w:val="single" w:color="BDC3C7" w:sz="4"/>
              </w:pBdr>
              <w:spacing w:before="440" w:after="60"/>
            </w:pPr>
          </w:p>
        </w:tc>
        <w:tc>
          <w:tcPr>
            <w:tcW w:type="dxa" w:w="3960"/>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60"/>
            </w:pPr>
            <w:r>
              <w:rPr>
                <w:rFonts w:ascii="Arial" w:cs="Arial" w:eastAsia="Arial" w:hAnsi="Arial"/>
                <w:b/>
                <w:bCs/>
                <w:color w:val="888888"/>
                <w:sz w:val="19"/>
                <w:szCs w:val="19"/>
              </w:rPr>
              <w:t xml:space="preserve">NPI Number</w:t>
            </w:r>
          </w:p>
          <w:p>
            <w:pPr>
              <w:pBdr>
                <w:bottom w:val="single" w:color="BDC3C7" w:sz="4"/>
              </w:pBdr>
              <w:spacing w:before="440" w:after="60"/>
            </w:pPr>
          </w:p>
        </w:tc>
      </w:tr>
    </w:tbl>
    <w:p>
      <w:pPr>
        <w:spacing w:before="0" w:after="280"/>
      </w:pPr>
    </w:p>
    <w:tbl>
      <w:tblPr>
        <w:tblW w:type="dxa" w:w="9360"/>
        <w:tblBorders>
          <w:top w:val="none" w:color="FFFFFF" w:sz="0"/>
          <w:left w:val="single" w:color="BDC3C7"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4F6F8" w:val="clear"/>
            <w:tcMar>
              <w:top w:type="dxa" w:w="60"/>
              <w:left w:type="dxa" w:w="140"/>
              <w:bottom w:type="dxa" w:w="0"/>
              <w:right w:type="dxa" w:w="140"/>
            </w:tcMar>
          </w:tcPr>
          <w:p>
            <w:pPr>
              <w:spacing w:before="0" w:after="40"/>
            </w:pPr>
            <w:r>
              <w:rPr>
                <w:rFonts w:ascii="Arial" w:cs="Arial" w:eastAsia="Arial" w:hAnsi="Arial"/>
                <w:b/>
                <w:bCs/>
                <w:color w:val="BDC3C7"/>
                <w:sz w:val="20"/>
                <w:szCs w:val="20"/>
              </w:rPr>
              <w:t xml:space="preserve">Document Control</w:t>
            </w:r>
          </w:p>
        </w:tc>
      </w:tr>
      <w:tr>
        <w:tc>
          <w:tcPr>
            <w:tcW w:type="dxa" w:w="9360"/>
            <w:tcBorders>
              <w:top w:val="none" w:color="FFFFFF" w:sz="0"/>
              <w:left w:val="none" w:color="FFFFFF" w:sz="0"/>
              <w:bottom w:val="none" w:color="FFFFFF" w:sz="0"/>
              <w:right w:val="none" w:color="FFFFFF" w:sz="0"/>
            </w:tcBorders>
            <w:shd w:fill="F4F6F8"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This informed consent document is v1.1, effective March 2026. Review due March 2027 or upon material change in prescribing practice or regulatory guidance. Patients on active therapy are required to re-acknowledge this consent at their annual follow-up appointment. An updated version will be provided when material regulatory or clinical changes occur — including changes to FDA labelling, controlled substance scheduling, or prescribing guidelines. Completed originals to be filed in the patient’s medical record. A copy must be provided to the patient at the time of signing. For questions contact the Clinical Director, Revive Low T Clinic, 206-960-4770.</w:t>
            </w:r>
          </w:p>
        </w:tc>
      </w:tr>
    </w:tbl>
    <w:sectPr>
      <w:headerReference w:type="default" r:id="rId6"/>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DC3C7" w:sz="4"/>
      </w:pBdr>
      <w:spacing w:before="80" w:after="0"/>
    </w:pPr>
    <w:r>
      <w:rPr>
        <w:rFonts w:ascii="Arial" w:cs="Arial" w:eastAsia="Arial" w:hAnsi="Arial"/>
        <w:color w:val="888888"/>
        <w:sz w:val="18"/>
        <w:szCs w:val="18"/>
      </w:rPr>
      <w:t xml:space="preserve">Revive Low T Clinic  ·  Informed Consent for Testosterone Therapy  ·  v1.0  ·  March 2026  ·  Page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of </w:t>
    </w:r>
    <w:r>
      <w:rPr>
        <w:rFonts w:ascii="Arial" w:cs="Arial" w:eastAsia="Arial" w:hAnsi="Arial"/>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0"/>
      <w:gridCol w:w="3760"/>
    </w:tblGrid>
    <w:tr>
      <w:tc>
        <w:tcPr>
          <w:tcW w:type="dxa" w:w="5600"/>
          <w:tcBorders>
            <w:top w:val="none" w:color="FFFFFF" w:sz="0"/>
            <w:left w:val="none" w:color="FFFFFF" w:sz="0"/>
            <w:bottom w:val="none" w:color="FFFFFF" w:sz="0"/>
            <w:right w:val="none" w:color="FFFFFF" w:sz="0"/>
          </w:tcBorders>
          <w:shd w:fill="1B3A6B" w:val="clear"/>
          <w:tcMar>
            <w:top w:type="dxa" w:w="80"/>
            <w:left w:type="dxa" w:w="160"/>
            <w:bottom w:type="dxa" w:w="80"/>
            <w:right w:type="dxa" w:w="80"/>
          </w:tcMar>
        </w:tcPr>
        <w:p>
          <w:pPr>
            <w:spacing w:before="0" w:after="0"/>
          </w:pPr>
          <w:r>
            <w:rPr>
              <w:rFonts w:ascii="Arial" w:cs="Arial" w:eastAsia="Arial" w:hAnsi="Arial"/>
              <w:b/>
              <w:bCs/>
              <w:color w:val="FFFFFF"/>
              <w:sz w:val="20"/>
              <w:szCs w:val="20"/>
            </w:rPr>
            <w:t xml:space="preserve">REVIVE LOW T CLINIC</w:t>
          </w:r>
        </w:p>
      </w:tc>
      <w:tc>
        <w:tcPr>
          <w:tcW w:type="dxa" w:w="3760"/>
          <w:tcBorders>
            <w:top w:val="none" w:color="FFFFFF" w:sz="0"/>
            <w:left w:val="none" w:color="FFFFFF" w:sz="0"/>
            <w:bottom w:val="none" w:color="FFFFFF" w:sz="0"/>
            <w:right w:val="none" w:color="FFFFFF" w:sz="0"/>
          </w:tcBorders>
          <w:shd w:fill="1B3A6B" w:val="clear"/>
          <w:tcMar>
            <w:top w:type="dxa" w:w="80"/>
            <w:left w:type="dxa" w:w="80"/>
            <w:bottom w:type="dxa" w:w="80"/>
            <w:right w:type="dxa" w:w="160"/>
          </w:tcMar>
        </w:tcPr>
        <w:p>
          <w:pPr>
            <w:spacing w:before="0" w:after="0"/>
            <w:jc w:val="right"/>
          </w:pPr>
          <w:r>
            <w:rPr>
              <w:rFonts w:ascii="Arial" w:cs="Arial" w:eastAsia="Arial" w:hAnsi="Arial"/>
              <w:color w:val="FFFFFF"/>
              <w:sz w:val="18"/>
              <w:szCs w:val="18"/>
            </w:rPr>
            <w:t xml:space="preserve">Informed Consent  |  Confidential</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abstractNum w:abstractNumId="3" w15:restartNumberingAfterBreak="0">
    <w:multiLevelType w:val="hybridMultilevel"/>
    <w:lvl w:ilvl="0" w15:tentative="1">
      <w:start w:val="1"/>
      <w:numFmt w:val="bullet"/>
      <w:lvlText w:val="◦"/>
      <w:lvlJc w:val="left"/>
      <w:pPr>
        <w:ind w:left="900" w:hanging="240"/>
      </w:pPr>
    </w:lvl>
  </w:abstractNum>
  <w:abstractNum w:abstractNumId="4" w15:restartNumberingAfterBreak="0">
    <w:multiLevelType w:val="hybridMultilevel"/>
    <w:lvl w:ilvl="0" w15:tentative="1">
      <w:start w:val="1"/>
      <w:numFmt w:val="decimal"/>
      <w:lvlText w:val="%1."/>
      <w:lvlJc w:val="left"/>
      <w:pPr>
        <w:ind w:left="520" w:hanging="28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60" w:after="80"/>
      <w:outlineLvl w:val="0"/>
    </w:pPr>
    <w:rPr>
      <w:rFonts w:ascii="Arial" w:cs="Arial" w:eastAsia="Arial" w:hAnsi="Arial"/>
      <w:b/>
      <w:bCs/>
      <w:color w:val="1B3A6B"/>
      <w:sz w:val="28"/>
      <w:szCs w:val="28"/>
    </w:rPr>
  </w:style>
  <w:style w:type="paragraph" w:styleId="Heading2">
    <w:name w:val="Heading 2"/>
    <w:basedOn w:val="Normal"/>
    <w:next w:val="Normal"/>
    <w:qFormat/>
    <w:pPr>
      <w:spacing w:before="200" w:after="60"/>
      <w:outlineLvl w:val="1"/>
    </w:pPr>
    <w:rPr>
      <w:rFonts w:ascii="Arial" w:cs="Arial" w:eastAsia="Arial" w:hAnsi="Arial"/>
      <w:b/>
      <w:bCs/>
      <w:color w:val="1A7A8C"/>
      <w:sz w:val="24"/>
      <w:szCs w:val="24"/>
    </w:rPr>
  </w:style>
  <w:style w:type="paragraph" w:styleId="Heading3">
    <w:name w:val="Heading 3"/>
    <w:basedOn w:val="Normal"/>
    <w:next w:val="Normal"/>
    <w:qFormat/>
    <w:pPr>
      <w:spacing w:before="160" w:after="40"/>
      <w:outlineLvl w:val="2"/>
    </w:pPr>
    <w:rPr>
      <w:rFonts w:ascii="Arial" w:cs="Arial" w:eastAsia="Arial" w:hAnsi="Arial"/>
      <w:b/>
      <w:bCs/>
      <w:color w:val="1B3A6B"/>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2026-03-18T16:06:22.857Z</dcterms:created>
  <dcterms:modified xsi:type="dcterms:W3CDTF">2026-03-18T16:06:22.858Z</dcterms:modified>
</cp:coreProperties>
</file>

<file path=docProps/custom.xml><?xml version="1.0" encoding="utf-8"?>
<Properties xmlns="http://schemas.openxmlformats.org/officeDocument/2006/custom-properties" xmlns:vt="http://schemas.openxmlformats.org/officeDocument/2006/docPropsVTypes"/>
</file>