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pPr>
    </w:p>
    <w:p>
      <w:pPr>
        <w:spacing w:before="0" w:after="60"/>
        <w:jc w:val="center"/>
      </w:pPr>
      <w:r>
        <w:rPr>
          <w:rFonts w:ascii="Arial" w:cs="Arial" w:eastAsia="Arial" w:hAnsi="Arial"/>
          <w:b/>
          <w:bCs/>
          <w:color w:val="1B3A6B"/>
          <w:sz w:val="52"/>
          <w:szCs w:val="52"/>
        </w:rPr>
        <w:t xml:space="preserve">INFORMED CONSENT</w:t>
      </w:r>
    </w:p>
    <w:p>
      <w:pPr>
        <w:spacing w:before="0" w:after="60"/>
        <w:jc w:val="center"/>
      </w:pPr>
      <w:r>
        <w:rPr>
          <w:rFonts w:ascii="Arial" w:cs="Arial" w:eastAsia="Arial" w:hAnsi="Arial"/>
          <w:b/>
          <w:bCs/>
          <w:color w:val="1A7A8C"/>
          <w:sz w:val="30"/>
          <w:szCs w:val="30"/>
        </w:rPr>
        <w:t xml:space="preserve">Peptide Therapy</w:t>
      </w:r>
    </w:p>
    <w:p>
      <w:pPr>
        <w:spacing w:before="0" w:after="60"/>
        <w:jc w:val="center"/>
      </w:pPr>
      <w:r>
        <w:rPr>
          <w:rFonts w:ascii="Arial" w:cs="Arial" w:eastAsia="Arial" w:hAnsi="Arial"/>
          <w:color w:val="555555"/>
          <w:sz w:val="24"/>
          <w:szCs w:val="24"/>
        </w:rPr>
        <w:t xml:space="preserve">Sermorelin  ·  PT-141 / Bremelanotide</w:t>
      </w:r>
    </w:p>
    <w:p>
      <w:pPr>
        <w:spacing w:before="0" w:after="280"/>
        <w:jc w:val="center"/>
      </w:pPr>
      <w:r>
        <w:rPr>
          <w:rFonts w:ascii="Arial" w:cs="Arial" w:eastAsia="Arial" w:hAnsi="Arial"/>
          <w:color w:val="888888"/>
          <w:sz w:val="20"/>
          <w:szCs w:val="20"/>
        </w:rPr>
        <w:t xml:space="preserve">Revive Low T Clinic  ·  206-960-4770  ·  v1.0  ·  March 2026</w:t>
      </w:r>
    </w:p>
    <w:p>
      <w:pPr>
        <w:pBdr>
          <w:bottom w:val="single" w:color="1B3A6B" w:sz="8"/>
        </w:pBdr>
        <w:spacing w:before="0" w:after="0"/>
      </w:pP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Patient Name</w:t>
            </w:r>
          </w:p>
          <w:p>
            <w:pPr>
              <w:pBdr>
                <w:bottom w:val="single" w:color="BDC3C7" w:sz="3"/>
              </w:pBdr>
              <w:spacing w:before="320" w:after="0"/>
            </w:pPr>
          </w:p>
        </w:tc>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Date of Consent</w:t>
            </w:r>
          </w:p>
          <w:p>
            <w:pPr>
              <w:pBdr>
                <w:bottom w:val="single" w:color="BDC3C7" w:sz="3"/>
              </w:pBdr>
              <w:spacing w:before="320" w:after="0"/>
            </w:pP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1.  What Are Peptides and How Are They Used in Medicine?</w:t>
            </w:r>
          </w:p>
        </w:tc>
      </w:tr>
    </w:tbl>
    <w:p>
      <w:pPr>
        <w:spacing w:before="0" w:after="160"/>
      </w:pPr>
    </w:p>
    <w:p>
      <w:pPr>
        <w:spacing w:before="20" w:after="100"/>
      </w:pPr>
      <w:r>
        <w:rPr>
          <w:rFonts w:ascii="Arial" w:cs="Arial" w:eastAsia="Arial" w:hAnsi="Arial"/>
          <w:color w:val="1A1A2E"/>
          <w:sz w:val="22"/>
          <w:szCs w:val="22"/>
        </w:rPr>
        <w:t xml:space="preserve">Peptides are short chains of amino acids — the building blocks of proteins. The body produces hundreds of peptides naturally as signalling molecules: hormones, growth factors, and neurotransmitter modulators. Therapeutic peptides mimic or modulate these natural signals to produce specific physiological effects.</w:t>
      </w:r>
    </w:p>
    <w:p>
      <w:pPr>
        <w:spacing w:before="0" w:after="100"/>
      </w:pPr>
    </w:p>
    <w:p>
      <w:pPr>
        <w:spacing w:before="20" w:after="100"/>
      </w:pPr>
      <w:r>
        <w:rPr>
          <w:rFonts w:ascii="Arial" w:cs="Arial" w:eastAsia="Arial" w:hAnsi="Arial"/>
          <w:color w:val="1A1A2E"/>
          <w:sz w:val="22"/>
          <w:szCs w:val="22"/>
        </w:rPr>
        <w:t xml:space="preserve">Peptide therapies exist on a spectrum from FDA-approved drugs (e.g., insulin is a peptide) to compounded investigational agents. The peptides described in this document — sermorelin and PT-141 / bremelanotide — fall into different regulatory categories explained below.</w:t>
      </w:r>
    </w:p>
    <w:p>
      <w:pPr>
        <w:spacing w:before="0" w:after="10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  Important Regulatory Notice — All Peptides at Revive</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80"/>
            </w:pPr>
            <w:r>
              <w:rPr>
                <w:rFonts w:ascii="Arial" w:cs="Arial" w:eastAsia="Arial" w:hAnsi="Arial"/>
                <w:b/>
                <w:bCs/>
                <w:color w:val="C0392B"/>
                <w:sz w:val="20"/>
                <w:szCs w:val="20"/>
              </w:rPr>
              <w:t xml:space="preserve">The peptide medications described in this document are either:</w:t>
            </w:r>
          </w:p>
          <w:p>
            <w:pPr>
              <w:pStyle w:val="ListParagraph"/>
              <w:numPr>
                <w:ilvl w:val="0"/>
                <w:numId w:val="2"/>
              </w:numPr>
              <w:spacing w:before="0" w:after="60"/>
            </w:pPr>
            <w:r>
              <w:rPr>
                <w:rFonts w:ascii="Arial" w:cs="Arial" w:eastAsia="Arial" w:hAnsi="Arial"/>
                <w:color w:val="1A1A2E"/>
                <w:sz w:val="20"/>
                <w:szCs w:val="20"/>
              </w:rPr>
              <w:t xml:space="preserve">Used off-label (PT-141 / bremelanotide — FDA-approved for women, used off-label in men), OR</w:t>
            </w:r>
          </w:p>
          <w:p>
            <w:pPr>
              <w:pStyle w:val="ListParagraph"/>
              <w:numPr>
                <w:ilvl w:val="0"/>
                <w:numId w:val="2"/>
              </w:numPr>
              <w:spacing w:before="0" w:after="60"/>
            </w:pPr>
            <w:r>
              <w:rPr>
                <w:rFonts w:ascii="Arial" w:cs="Arial" w:eastAsia="Arial" w:hAnsi="Arial"/>
                <w:color w:val="1A1A2E"/>
                <w:sz w:val="20"/>
                <w:szCs w:val="20"/>
              </w:rPr>
              <w:t xml:space="preserve">Available only through licensed compounding pharmacies (sermorelin — previously FDA-approved; now compounded), OR</w:t>
            </w:r>
          </w:p>
          <w:p>
            <w:pPr>
              <w:pStyle w:val="ListParagraph"/>
              <w:numPr>
                <w:ilvl w:val="0"/>
                <w:numId w:val="2"/>
              </w:numPr>
              <w:spacing w:before="0" w:after="60"/>
            </w:pPr>
            <w:r>
              <w:rPr>
                <w:rFonts w:ascii="Arial" w:cs="Arial" w:eastAsia="Arial" w:hAnsi="Arial"/>
                <w:color w:val="1A1A2E"/>
                <w:sz w:val="20"/>
                <w:szCs w:val="20"/>
              </w:rPr>
              <w:t xml:space="preserve">Subject to evolving regulatory status that may change the availability of compounded versions.</w:t>
            </w:r>
          </w:p>
          <w:p>
            <w:pPr>
              <w:spacing w:before="100" w:after="0"/>
            </w:pPr>
            <w:r>
              <w:rPr>
                <w:rFonts w:ascii="Arial" w:cs="Arial" w:eastAsia="Arial" w:hAnsi="Arial"/>
                <w:b/>
                <w:bCs/>
                <w:color w:val="C0392B"/>
                <w:sz w:val="20"/>
                <w:szCs w:val="20"/>
              </w:rPr>
              <w:t xml:space="preserve">Long-term safety data for these agents are more limited than for FDA-approved commercially manufactured drugs. You are consenting to treatment with this regulatory context fully disclosed.</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2.  Sermorelin (Growth Hormone Releasing Hormone Analog)</w:t>
            </w:r>
          </w:p>
        </w:tc>
      </w:tr>
    </w:tbl>
    <w:p>
      <w:pPr>
        <w:spacing w:before="0" w:after="160"/>
      </w:pPr>
    </w:p>
    <w:p>
      <w:pPr>
        <w:spacing w:before="20" w:after="100"/>
      </w:pPr>
      <w:r>
        <w:rPr>
          <w:rFonts w:ascii="Arial" w:cs="Arial" w:eastAsia="Arial" w:hAnsi="Arial"/>
          <w:color w:val="1A1A2E"/>
          <w:sz w:val="22"/>
          <w:szCs w:val="22"/>
        </w:rPr>
        <w:t xml:space="preserve">Sermorelin is a synthetic analogue of growth hormone-releasing hormone (GHRH) — the first 29 amino acids of the naturally occurring GHRH molecule. It was FDA-approved for treatment of growth hormone deficiency in children (Geref® Diagnostic) but is no longer commercially manufactured as a brand product. Sermorelin is currently available exclusively through licensed compounding pharmacies for off-label use in adults.</w:t>
      </w:r>
    </w:p>
    <w:p>
      <w:pPr>
        <w:spacing w:before="0" w:after="120"/>
      </w:pPr>
    </w:p>
    <w:p>
      <w:pPr>
        <w:pStyle w:val="Heading3"/>
        <w:spacing w:before="100" w:after="60"/>
      </w:pPr>
      <w:r>
        <w:rPr>
          <w:rFonts w:ascii="Arial" w:cs="Arial" w:eastAsia="Arial" w:hAnsi="Arial"/>
          <w:b/>
          <w:bCs/>
          <w:color w:val="1B3A6B"/>
          <w:sz w:val="22"/>
          <w:szCs w:val="22"/>
        </w:rPr>
        <w:t xml:space="preserve">What Does Sermorelin Do?</w:t>
      </w:r>
    </w:p>
    <w:p>
      <w:pPr>
        <w:spacing w:before="20" w:after="100"/>
      </w:pPr>
      <w:r>
        <w:rPr>
          <w:rFonts w:ascii="Arial" w:cs="Arial" w:eastAsia="Arial" w:hAnsi="Arial"/>
          <w:color w:val="1A1A2E"/>
          <w:sz w:val="22"/>
          <w:szCs w:val="22"/>
        </w:rPr>
        <w:t xml:space="preserve">Sermorelin stimulates the pituitary gland to produce and release more of the body's own growth hormone (GH) in a pulsatile, physiologically natural pattern. It does NOT directly replace growth hormone. This is a key distinction from synthetic human growth hormone (HGH), which bypasses the pituitary entirely and suppresses natural GH production over time.</w:t>
      </w:r>
    </w:p>
    <w:p>
      <w:pPr>
        <w:spacing w:before="0" w:after="100"/>
      </w:pPr>
    </w:p>
    <w:p>
      <w:pPr>
        <w:spacing w:before="20" w:after="100"/>
      </w:pPr>
      <w:r>
        <w:rPr>
          <w:rFonts w:ascii="Arial" w:cs="Arial" w:eastAsia="Arial" w:hAnsi="Arial"/>
          <w:color w:val="1A1A2E"/>
          <w:sz w:val="22"/>
          <w:szCs w:val="22"/>
        </w:rPr>
        <w:t xml:space="preserve">Sermorelin acts upstream: it tells the pituitary to do its job more actively, preserving the body's natural feedback systems. The pituitary retains the ability to downregulate GH production if levels become excessive.</w:t>
      </w:r>
    </w:p>
    <w:p>
      <w:pPr>
        <w:spacing w:before="0" w:after="120"/>
      </w:pPr>
    </w:p>
    <w:p>
      <w:pPr>
        <w:pStyle w:val="Heading3"/>
        <w:spacing w:before="100" w:after="60"/>
      </w:pPr>
      <w:r>
        <w:rPr>
          <w:rFonts w:ascii="Arial" w:cs="Arial" w:eastAsia="Arial" w:hAnsi="Arial"/>
          <w:b/>
          <w:bCs/>
          <w:color w:val="1B3A6B"/>
          <w:sz w:val="22"/>
          <w:szCs w:val="22"/>
        </w:rPr>
        <w:t xml:space="preserve">Why Do Clinicians Use Sermorelin in Adults?</w:t>
      </w:r>
    </w:p>
    <w:p>
      <w:pPr>
        <w:spacing w:before="20" w:after="100"/>
      </w:pPr>
      <w:r>
        <w:rPr>
          <w:rFonts w:ascii="Arial" w:cs="Arial" w:eastAsia="Arial" w:hAnsi="Arial"/>
          <w:color w:val="1A1A2E"/>
          <w:sz w:val="22"/>
          <w:szCs w:val="22"/>
        </w:rPr>
        <w:t xml:space="preserve">Growth hormone declines by approximately 14% per decade after age 30. This decline (somatopause) contributes to changes in body composition, energy, sleep quality, and recovery. Adults are not FDA-approved candidates for GH therapy unless they have documented pituitary pathology and severe GH deficiency. Sermorelin is used off-label to support endogenous GH production in adults experiencing age-related decline.</w:t>
      </w:r>
    </w:p>
    <w:p>
      <w:pPr>
        <w:spacing w:before="0" w:after="120"/>
      </w:pPr>
    </w:p>
    <w:p>
      <w:pPr>
        <w:pStyle w:val="Heading3"/>
        <w:spacing w:before="100" w:after="60"/>
      </w:pPr>
      <w:r>
        <w:rPr>
          <w:rFonts w:ascii="Arial" w:cs="Arial" w:eastAsia="Arial" w:hAnsi="Arial"/>
          <w:b/>
          <w:bCs/>
          <w:color w:val="1B3A6B"/>
          <w:sz w:val="22"/>
          <w:szCs w:val="22"/>
        </w:rPr>
        <w:t xml:space="preserve">Dosing — Typical Protocol</w:t>
      </w:r>
    </w:p>
    <w:p>
      <w:pPr>
        <w:pStyle w:val="ListParagraph"/>
        <w:numPr>
          <w:ilvl w:val="0"/>
          <w:numId w:val="2"/>
        </w:numPr>
        <w:spacing w:before="20" w:after="60"/>
      </w:pPr>
      <w:r>
        <w:rPr>
          <w:rFonts w:ascii="Arial" w:cs="Arial" w:eastAsia="Arial" w:hAnsi="Arial"/>
          <w:color w:val="1A1A2E"/>
          <w:sz w:val="22"/>
          <w:szCs w:val="22"/>
        </w:rPr>
        <w:t xml:space="preserve">Dose: 100–300 mcg subcutaneous injection, typically before bedtime</w:t>
      </w:r>
    </w:p>
    <w:p>
      <w:pPr>
        <w:pStyle w:val="ListParagraph"/>
        <w:numPr>
          <w:ilvl w:val="0"/>
          <w:numId w:val="2"/>
        </w:numPr>
        <w:spacing w:before="20" w:after="60"/>
      </w:pPr>
      <w:r>
        <w:rPr>
          <w:rFonts w:ascii="Arial" w:cs="Arial" w:eastAsia="Arial" w:hAnsi="Arial"/>
          <w:color w:val="1A1A2E"/>
          <w:sz w:val="22"/>
          <w:szCs w:val="22"/>
        </w:rPr>
        <w:t xml:space="preserve">Bedtime dosing is preferred because GH is released in the largest nocturnal pulse during slow-wave sleep — sermorelin amplifies this natural pulse</w:t>
      </w:r>
    </w:p>
    <w:p>
      <w:pPr>
        <w:pStyle w:val="ListParagraph"/>
        <w:numPr>
          <w:ilvl w:val="0"/>
          <w:numId w:val="2"/>
        </w:numPr>
        <w:spacing w:before="20" w:after="60"/>
      </w:pPr>
      <w:r>
        <w:rPr>
          <w:rFonts w:ascii="Arial" w:cs="Arial" w:eastAsia="Arial" w:hAnsi="Arial"/>
          <w:color w:val="1A1A2E"/>
          <w:sz w:val="22"/>
          <w:szCs w:val="22"/>
        </w:rPr>
        <w:t xml:space="preserve">Frequency: typically 5 nights per week (Monday–Friday), with weekend break; some protocols are daily</w:t>
      </w:r>
    </w:p>
    <w:p>
      <w:pPr>
        <w:pStyle w:val="ListParagraph"/>
        <w:numPr>
          <w:ilvl w:val="0"/>
          <w:numId w:val="2"/>
        </w:numPr>
        <w:spacing w:before="20" w:after="60"/>
      </w:pPr>
      <w:r>
        <w:rPr>
          <w:rFonts w:ascii="Arial" w:cs="Arial" w:eastAsia="Arial" w:hAnsi="Arial"/>
          <w:color w:val="1A1A2E"/>
          <w:sz w:val="22"/>
          <w:szCs w:val="22"/>
        </w:rPr>
        <w:t xml:space="preserve">Duration: typically 3–6 months initial course; reassessed based on IGF-1 levels and clinical response</w:t>
      </w:r>
    </w:p>
    <w:p>
      <w:pPr>
        <w:pStyle w:val="ListParagraph"/>
        <w:numPr>
          <w:ilvl w:val="0"/>
          <w:numId w:val="2"/>
        </w:numPr>
        <w:spacing w:before="20" w:after="60"/>
      </w:pPr>
      <w:r>
        <w:rPr>
          <w:rFonts w:ascii="Arial" w:cs="Arial" w:eastAsia="Arial" w:hAnsi="Arial"/>
          <w:color w:val="1A1A2E"/>
          <w:sz w:val="22"/>
          <w:szCs w:val="22"/>
        </w:rPr>
        <w:t xml:space="preserve">Route: subcutaneous injection into abdomen, thigh, or upper arm using small-gauge insulin-style needle</w:t>
      </w:r>
    </w:p>
    <w:p>
      <w:pPr>
        <w:spacing w:before="0" w:after="120"/>
      </w:pPr>
    </w:p>
    <w:p>
      <w:pPr>
        <w:pStyle w:val="Heading3"/>
        <w:spacing w:before="100" w:after="60"/>
      </w:pPr>
      <w:r>
        <w:rPr>
          <w:rFonts w:ascii="Arial" w:cs="Arial" w:eastAsia="Arial" w:hAnsi="Arial"/>
          <w:b/>
          <w:bCs/>
          <w:color w:val="1B3A6B"/>
          <w:sz w:val="22"/>
          <w:szCs w:val="22"/>
        </w:rPr>
        <w:t xml:space="preserve">Potential Benefits</w:t>
      </w:r>
    </w:p>
    <w:p>
      <w:pPr>
        <w:pStyle w:val="ListParagraph"/>
        <w:numPr>
          <w:ilvl w:val="0"/>
          <w:numId w:val="2"/>
        </w:numPr>
        <w:spacing w:before="20" w:after="60"/>
      </w:pPr>
      <w:r>
        <w:rPr>
          <w:rFonts w:ascii="Arial" w:cs="Arial" w:eastAsia="Arial" w:hAnsi="Arial"/>
          <w:color w:val="1A1A2E"/>
          <w:sz w:val="22"/>
          <w:szCs w:val="22"/>
        </w:rPr>
        <w:t xml:space="preserve">Improved body composition: modest reduction in visceral adiposity; modest increase in lean mass with resistance exercise</w:t>
      </w:r>
    </w:p>
    <w:p>
      <w:pPr>
        <w:pStyle w:val="ListParagraph"/>
        <w:numPr>
          <w:ilvl w:val="0"/>
          <w:numId w:val="2"/>
        </w:numPr>
        <w:spacing w:before="20" w:after="60"/>
      </w:pPr>
      <w:r>
        <w:rPr>
          <w:rFonts w:ascii="Arial" w:cs="Arial" w:eastAsia="Arial" w:hAnsi="Arial"/>
          <w:color w:val="1A1A2E"/>
          <w:sz w:val="22"/>
          <w:szCs w:val="22"/>
        </w:rPr>
        <w:t xml:space="preserve">Improved sleep quality — particularly slow-wave (deep) sleep</w:t>
      </w:r>
    </w:p>
    <w:p>
      <w:pPr>
        <w:pStyle w:val="ListParagraph"/>
        <w:numPr>
          <w:ilvl w:val="0"/>
          <w:numId w:val="2"/>
        </w:numPr>
        <w:spacing w:before="20" w:after="60"/>
      </w:pPr>
      <w:r>
        <w:rPr>
          <w:rFonts w:ascii="Arial" w:cs="Arial" w:eastAsia="Arial" w:hAnsi="Arial"/>
          <w:color w:val="1A1A2E"/>
          <w:sz w:val="22"/>
          <w:szCs w:val="22"/>
        </w:rPr>
        <w:t xml:space="preserve">Improved recovery from exercise and injury</w:t>
      </w:r>
    </w:p>
    <w:p>
      <w:pPr>
        <w:pStyle w:val="ListParagraph"/>
        <w:numPr>
          <w:ilvl w:val="0"/>
          <w:numId w:val="2"/>
        </w:numPr>
        <w:spacing w:before="20" w:after="60"/>
      </w:pPr>
      <w:r>
        <w:rPr>
          <w:rFonts w:ascii="Arial" w:cs="Arial" w:eastAsia="Arial" w:hAnsi="Arial"/>
          <w:color w:val="1A1A2E"/>
          <w:sz w:val="22"/>
          <w:szCs w:val="22"/>
        </w:rPr>
        <w:t xml:space="preserve">Increased energy and sense of wellbeing in some patients</w:t>
      </w:r>
    </w:p>
    <w:p>
      <w:pPr>
        <w:pStyle w:val="ListParagraph"/>
        <w:numPr>
          <w:ilvl w:val="0"/>
          <w:numId w:val="2"/>
        </w:numPr>
        <w:spacing w:before="20" w:after="60"/>
      </w:pPr>
      <w:r>
        <w:rPr>
          <w:rFonts w:ascii="Arial" w:cs="Arial" w:eastAsia="Arial" w:hAnsi="Arial"/>
          <w:color w:val="1A1A2E"/>
          <w:sz w:val="22"/>
          <w:szCs w:val="22"/>
        </w:rPr>
        <w:t xml:space="preserve">Improvement in skin quality and texture over months of use</w:t>
      </w:r>
    </w:p>
    <w:p>
      <w:pPr>
        <w:pStyle w:val="ListParagraph"/>
        <w:numPr>
          <w:ilvl w:val="0"/>
          <w:numId w:val="2"/>
        </w:numPr>
        <w:spacing w:before="20" w:after="60"/>
      </w:pPr>
      <w:r>
        <w:rPr>
          <w:rFonts w:ascii="Arial" w:cs="Arial" w:eastAsia="Arial" w:hAnsi="Arial"/>
          <w:color w:val="1A1A2E"/>
          <w:sz w:val="22"/>
          <w:szCs w:val="22"/>
        </w:rPr>
        <w:t xml:space="preserve">Preservation of natural pituitary regulation — pituitary continues to self-regulate GH output</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Realistic Expectations</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Sermorelin's effects are modest, gradual, and cumulative. They are not equivalent to direct growth hormone injection. Most patients notice changes in sleep and recovery first (weeks 4–8) and body composition changes last (months 3–6). Effects require ongoing treatment to maintain and diminish after stopping. Sermorelin is not a performance-enhancing drug in the sense of producing dramatic physique changes.</w:t>
            </w:r>
          </w:p>
        </w:tc>
      </w:tr>
    </w:tbl>
    <w:p>
      <w:pPr>
        <w:spacing w:before="0" w:after="120"/>
      </w:pPr>
    </w:p>
    <w:p>
      <w:pPr>
        <w:pStyle w:val="Heading3"/>
        <w:spacing w:before="100" w:after="60"/>
      </w:pPr>
      <w:r>
        <w:rPr>
          <w:rFonts w:ascii="Arial" w:cs="Arial" w:eastAsia="Arial" w:hAnsi="Arial"/>
          <w:b/>
          <w:bCs/>
          <w:color w:val="1B3A6B"/>
          <w:sz w:val="22"/>
          <w:szCs w:val="22"/>
        </w:rPr>
        <w:t xml:space="preserve">Side Effects &amp; Risks</w:t>
      </w:r>
    </w:p>
    <w:p>
      <w:pPr>
        <w:pStyle w:val="ListParagraph"/>
        <w:numPr>
          <w:ilvl w:val="0"/>
          <w:numId w:val="2"/>
        </w:numPr>
        <w:spacing w:before="20" w:after="60"/>
      </w:pPr>
      <w:r>
        <w:rPr>
          <w:rFonts w:ascii="Arial" w:cs="Arial" w:eastAsia="Arial" w:hAnsi="Arial"/>
          <w:color w:val="1A1A2E"/>
          <w:sz w:val="22"/>
          <w:szCs w:val="22"/>
        </w:rPr>
        <w:t xml:space="preserve">Injection site reactions: redness, itching, swelling at injection site — common and usually mild</w:t>
      </w:r>
    </w:p>
    <w:p>
      <w:pPr>
        <w:pStyle w:val="ListParagraph"/>
        <w:numPr>
          <w:ilvl w:val="0"/>
          <w:numId w:val="2"/>
        </w:numPr>
        <w:spacing w:before="20" w:after="60"/>
      </w:pPr>
      <w:r>
        <w:rPr>
          <w:rFonts w:ascii="Arial" w:cs="Arial" w:eastAsia="Arial" w:hAnsi="Arial"/>
          <w:color w:val="1A1A2E"/>
          <w:sz w:val="22"/>
          <w:szCs w:val="22"/>
        </w:rPr>
        <w:t xml:space="preserve">Flushing, warmth</w:t>
      </w:r>
    </w:p>
    <w:p>
      <w:pPr>
        <w:pStyle w:val="ListParagraph"/>
        <w:numPr>
          <w:ilvl w:val="0"/>
          <w:numId w:val="2"/>
        </w:numPr>
        <w:spacing w:before="20" w:after="60"/>
      </w:pPr>
      <w:r>
        <w:rPr>
          <w:rFonts w:ascii="Arial" w:cs="Arial" w:eastAsia="Arial" w:hAnsi="Arial"/>
          <w:color w:val="1A1A2E"/>
          <w:sz w:val="22"/>
          <w:szCs w:val="22"/>
        </w:rPr>
        <w:t xml:space="preserve">Dizziness or light-headedness (uncommon)</w:t>
      </w:r>
    </w:p>
    <w:p>
      <w:pPr>
        <w:pStyle w:val="ListParagraph"/>
        <w:numPr>
          <w:ilvl w:val="0"/>
          <w:numId w:val="2"/>
        </w:numPr>
        <w:spacing w:before="20" w:after="60"/>
      </w:pPr>
      <w:r>
        <w:rPr>
          <w:rFonts w:ascii="Arial" w:cs="Arial" w:eastAsia="Arial" w:hAnsi="Arial"/>
          <w:color w:val="1A1A2E"/>
          <w:sz w:val="22"/>
          <w:szCs w:val="22"/>
        </w:rPr>
        <w:t xml:space="preserve">Headache</w:t>
      </w:r>
    </w:p>
    <w:p>
      <w:pPr>
        <w:pStyle w:val="ListParagraph"/>
        <w:numPr>
          <w:ilvl w:val="0"/>
          <w:numId w:val="2"/>
        </w:numPr>
        <w:spacing w:before="20" w:after="60"/>
      </w:pPr>
      <w:r>
        <w:rPr>
          <w:rFonts w:ascii="Arial" w:cs="Arial" w:eastAsia="Arial" w:hAnsi="Arial"/>
          <w:color w:val="1A1A2E"/>
          <w:sz w:val="22"/>
          <w:szCs w:val="22"/>
        </w:rPr>
        <w:t xml:space="preserve">Nausea (uncommon)</w:t>
      </w:r>
    </w:p>
    <w:p>
      <w:pPr>
        <w:pStyle w:val="ListParagraph"/>
        <w:numPr>
          <w:ilvl w:val="0"/>
          <w:numId w:val="2"/>
        </w:numPr>
        <w:spacing w:before="20" w:after="60"/>
      </w:pPr>
      <w:r>
        <w:rPr>
          <w:rFonts w:ascii="Arial" w:cs="Arial" w:eastAsia="Arial" w:hAnsi="Arial"/>
          <w:color w:val="1A1A2E"/>
          <w:sz w:val="22"/>
          <w:szCs w:val="22"/>
        </w:rPr>
        <w:t xml:space="preserve">Water retention / oedema — especially early in treatment; usually resolves</w:t>
      </w:r>
    </w:p>
    <w:p>
      <w:pPr>
        <w:pStyle w:val="ListParagraph"/>
        <w:numPr>
          <w:ilvl w:val="0"/>
          <w:numId w:val="2"/>
        </w:numPr>
        <w:spacing w:before="20" w:after="60"/>
      </w:pPr>
      <w:r>
        <w:rPr>
          <w:rFonts w:ascii="Arial" w:cs="Arial" w:eastAsia="Arial" w:hAnsi="Arial"/>
          <w:color w:val="1A1A2E"/>
          <w:sz w:val="22"/>
          <w:szCs w:val="22"/>
        </w:rPr>
        <w:t xml:space="preserve">Hypoglycaemia — GH can increase insulin resistance; diabetic patients require additional monitoring</w:t>
      </w:r>
    </w:p>
    <w:p>
      <w:pPr>
        <w:pStyle w:val="ListParagraph"/>
        <w:numPr>
          <w:ilvl w:val="0"/>
          <w:numId w:val="2"/>
        </w:numPr>
        <w:spacing w:before="20" w:after="60"/>
      </w:pPr>
      <w:r>
        <w:rPr>
          <w:rFonts w:ascii="Arial" w:cs="Arial" w:eastAsia="Arial" w:hAnsi="Arial"/>
          <w:color w:val="1A1A2E"/>
          <w:sz w:val="22"/>
          <w:szCs w:val="22"/>
        </w:rPr>
        <w:t xml:space="preserve">Potential stimulation of pre-existing but undetected pituitary tumours (rare; see contraindications)</w:t>
      </w:r>
    </w:p>
    <w:p>
      <w:pPr>
        <w:pStyle w:val="ListParagraph"/>
        <w:numPr>
          <w:ilvl w:val="0"/>
          <w:numId w:val="2"/>
        </w:numPr>
        <w:spacing w:before="20" w:after="60"/>
      </w:pPr>
      <w:r>
        <w:rPr>
          <w:rFonts w:ascii="Arial" w:cs="Arial" w:eastAsia="Arial" w:hAnsi="Arial"/>
          <w:color w:val="1A1A2E"/>
          <w:sz w:val="22"/>
          <w:szCs w:val="22"/>
        </w:rPr>
        <w:t xml:space="preserve">Antibody formation to sermorelin (rare; if it occurs, the peptide may become less effective)</w:t>
      </w:r>
    </w:p>
    <w:p>
      <w:pPr>
        <w:spacing w:before="0" w:after="10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  Unknown Long-Term Risks</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Sermorelin has not been studied in long-term trials in healthy adults for the off-label indications described here. The risk of long-term use — particularly effects on oncology risk, pituitary function, cardiovascular outcomes, and longevity — is not well characterised. The decision to use sermorelin involves accepting a degree of uncertainty about long-term safety that is greater than for established FDA-approved medications.</w:t>
            </w:r>
          </w:p>
        </w:tc>
      </w:tr>
    </w:tbl>
    <w:p>
      <w:pPr>
        <w:spacing w:before="0" w:after="120"/>
      </w:pPr>
    </w:p>
    <w:p>
      <w:pPr>
        <w:pStyle w:val="Heading3"/>
        <w:spacing w:before="100" w:after="60"/>
      </w:pPr>
      <w:r>
        <w:rPr>
          <w:rFonts w:ascii="Arial" w:cs="Arial" w:eastAsia="Arial" w:hAnsi="Arial"/>
          <w:b/>
          <w:bCs/>
          <w:color w:val="1B3A6B"/>
          <w:sz w:val="22"/>
          <w:szCs w:val="22"/>
        </w:rPr>
        <w:t xml:space="preserve">Contraindications</w:t>
      </w:r>
    </w:p>
    <w:p>
      <w:pPr>
        <w:pStyle w:val="ListParagraph"/>
        <w:numPr>
          <w:ilvl w:val="0"/>
          <w:numId w:val="2"/>
        </w:numPr>
        <w:spacing w:before="20" w:after="60"/>
      </w:pPr>
      <w:r>
        <w:rPr>
          <w:rFonts w:ascii="Arial" w:cs="Arial" w:eastAsia="Arial" w:hAnsi="Arial"/>
          <w:color w:val="1A1A2E"/>
          <w:sz w:val="22"/>
          <w:szCs w:val="22"/>
        </w:rPr>
        <w:t xml:space="preserve">Active malignancy (current or recent cancer) — GH and IGF-1 promote cell growth; stimulating GH in active cancer is contraindicated</w:t>
      </w:r>
    </w:p>
    <w:p>
      <w:pPr>
        <w:pStyle w:val="ListParagraph"/>
        <w:numPr>
          <w:ilvl w:val="0"/>
          <w:numId w:val="2"/>
        </w:numPr>
        <w:spacing w:before="20" w:after="60"/>
      </w:pPr>
      <w:r>
        <w:rPr>
          <w:rFonts w:ascii="Arial" w:cs="Arial" w:eastAsia="Arial" w:hAnsi="Arial"/>
          <w:color w:val="1A1A2E"/>
          <w:sz w:val="22"/>
          <w:szCs w:val="22"/>
        </w:rPr>
        <w:t xml:space="preserve">Pituitary tumour or history of pituitary surgery — may be relative depending on type</w:t>
      </w:r>
    </w:p>
    <w:p>
      <w:pPr>
        <w:pStyle w:val="ListParagraph"/>
        <w:numPr>
          <w:ilvl w:val="0"/>
          <w:numId w:val="2"/>
        </w:numPr>
        <w:spacing w:before="20" w:after="60"/>
      </w:pPr>
      <w:r>
        <w:rPr>
          <w:rFonts w:ascii="Arial" w:cs="Arial" w:eastAsia="Arial" w:hAnsi="Arial"/>
          <w:color w:val="1A1A2E"/>
          <w:sz w:val="22"/>
          <w:szCs w:val="22"/>
        </w:rPr>
        <w:t xml:space="preserve">Uncontrolled diabetes mellitus — GH increases insulin resistance; glucose control must be optimised first</w:t>
      </w:r>
    </w:p>
    <w:p>
      <w:pPr>
        <w:pStyle w:val="ListParagraph"/>
        <w:numPr>
          <w:ilvl w:val="0"/>
          <w:numId w:val="2"/>
        </w:numPr>
        <w:spacing w:before="20" w:after="60"/>
      </w:pPr>
      <w:r>
        <w:rPr>
          <w:rFonts w:ascii="Arial" w:cs="Arial" w:eastAsia="Arial" w:hAnsi="Arial"/>
          <w:color w:val="1A1A2E"/>
          <w:sz w:val="22"/>
          <w:szCs w:val="22"/>
        </w:rPr>
        <w:t xml:space="preserve">Pregnancy or planned pregnancy — stop before conception</w:t>
      </w:r>
    </w:p>
    <w:p>
      <w:pPr>
        <w:pStyle w:val="ListParagraph"/>
        <w:numPr>
          <w:ilvl w:val="0"/>
          <w:numId w:val="2"/>
        </w:numPr>
        <w:spacing w:before="20" w:after="60"/>
      </w:pPr>
      <w:r>
        <w:rPr>
          <w:rFonts w:ascii="Arial" w:cs="Arial" w:eastAsia="Arial" w:hAnsi="Arial"/>
          <w:color w:val="1A1A2E"/>
          <w:sz w:val="22"/>
          <w:szCs w:val="22"/>
        </w:rPr>
        <w:t xml:space="preserve">Known hypersensitivity to sermorelin or GHRH</w:t>
      </w:r>
    </w:p>
    <w:p>
      <w:pPr>
        <w:pStyle w:val="ListParagraph"/>
        <w:numPr>
          <w:ilvl w:val="0"/>
          <w:numId w:val="2"/>
        </w:numPr>
        <w:spacing w:before="20" w:after="60"/>
      </w:pPr>
      <w:r>
        <w:rPr>
          <w:rFonts w:ascii="Arial" w:cs="Arial" w:eastAsia="Arial" w:hAnsi="Arial"/>
          <w:color w:val="1A1A2E"/>
          <w:sz w:val="22"/>
          <w:szCs w:val="22"/>
        </w:rPr>
        <w:t xml:space="preserve">Severe hypothyroidism (untreated) — GH response may be blunted; treat thyroid disease first</w:t>
      </w:r>
    </w:p>
    <w:p>
      <w:pPr>
        <w:spacing w:before="0" w:after="120"/>
      </w:pPr>
    </w:p>
    <w:p>
      <w:pPr>
        <w:pStyle w:val="Heading3"/>
        <w:spacing w:before="100" w:after="60"/>
      </w:pPr>
      <w:r>
        <w:rPr>
          <w:rFonts w:ascii="Arial" w:cs="Arial" w:eastAsia="Arial" w:hAnsi="Arial"/>
          <w:b/>
          <w:bCs/>
          <w:color w:val="1B3A6B"/>
          <w:sz w:val="22"/>
          <w:szCs w:val="22"/>
        </w:rPr>
        <w:t xml:space="preserve">Monitoring</w:t>
      </w:r>
    </w:p>
    <w:p>
      <w:pPr>
        <w:pStyle w:val="ListParagraph"/>
        <w:numPr>
          <w:ilvl w:val="0"/>
          <w:numId w:val="2"/>
        </w:numPr>
        <w:spacing w:before="20" w:after="60"/>
      </w:pPr>
      <w:r>
        <w:rPr>
          <w:rFonts w:ascii="Arial" w:cs="Arial" w:eastAsia="Arial" w:hAnsi="Arial"/>
          <w:color w:val="1A1A2E"/>
          <w:sz w:val="22"/>
          <w:szCs w:val="22"/>
        </w:rPr>
        <w:t xml:space="preserve">IGF-1 level: baseline and at 3 months to assess GH axis response</w:t>
      </w:r>
    </w:p>
    <w:p>
      <w:pPr>
        <w:pStyle w:val="ListParagraph"/>
        <w:numPr>
          <w:ilvl w:val="0"/>
          <w:numId w:val="2"/>
        </w:numPr>
        <w:spacing w:before="20" w:after="60"/>
      </w:pPr>
      <w:r>
        <w:rPr>
          <w:rFonts w:ascii="Arial" w:cs="Arial" w:eastAsia="Arial" w:hAnsi="Arial"/>
          <w:color w:val="1A1A2E"/>
          <w:sz w:val="22"/>
          <w:szCs w:val="22"/>
        </w:rPr>
        <w:t xml:space="preserve">Fasting glucose and HbA1c: baseline; annually or more frequently in diabetic / prediabetic patients</w:t>
      </w:r>
    </w:p>
    <w:p>
      <w:pPr>
        <w:pStyle w:val="ListParagraph"/>
        <w:numPr>
          <w:ilvl w:val="0"/>
          <w:numId w:val="2"/>
        </w:numPr>
        <w:spacing w:before="20" w:after="60"/>
      </w:pPr>
      <w:r>
        <w:rPr>
          <w:rFonts w:ascii="Arial" w:cs="Arial" w:eastAsia="Arial" w:hAnsi="Arial"/>
          <w:color w:val="1A1A2E"/>
          <w:sz w:val="22"/>
          <w:szCs w:val="22"/>
        </w:rPr>
        <w:t xml:space="preserve">Lipid panel: baseline</w:t>
      </w:r>
    </w:p>
    <w:p>
      <w:pPr>
        <w:pStyle w:val="ListParagraph"/>
        <w:numPr>
          <w:ilvl w:val="0"/>
          <w:numId w:val="2"/>
        </w:numPr>
        <w:spacing w:before="20" w:after="60"/>
      </w:pPr>
      <w:r>
        <w:rPr>
          <w:rFonts w:ascii="Arial" w:cs="Arial" w:eastAsia="Arial" w:hAnsi="Arial"/>
          <w:color w:val="1A1A2E"/>
          <w:sz w:val="22"/>
          <w:szCs w:val="22"/>
        </w:rPr>
        <w:t xml:space="preserve">Clinical assessment: sleep, body composition, energy, and recovery at follow-up visits</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3.  PT-141 / Bremelanotide (Melanocortin Receptor Agonist)</w:t>
            </w:r>
          </w:p>
        </w:tc>
      </w:tr>
    </w:tbl>
    <w:p>
      <w:pPr>
        <w:spacing w:before="0" w:after="160"/>
      </w:pPr>
    </w:p>
    <w:p>
      <w:pPr>
        <w:spacing w:before="20" w:after="100"/>
      </w:pPr>
      <w:r>
        <w:rPr>
          <w:rFonts w:ascii="Arial" w:cs="Arial" w:eastAsia="Arial" w:hAnsi="Arial"/>
          <w:color w:val="1A1A2E"/>
          <w:sz w:val="22"/>
          <w:szCs w:val="22"/>
        </w:rPr>
        <w:t xml:space="preserve">PT-141, the investigational name for bremelanotide, is a synthetic melanocortin receptor agonist developed from Melanotan II. It is FDA-approved under the brand name Vyleesi® for hypoactive sexual desire disorder (HSDD) in premenopausal women. Its use in men for erectile dysfunction and low sexual desire is off-label.</w:t>
      </w:r>
    </w:p>
    <w:p>
      <w:pPr>
        <w:spacing w:before="0" w:after="100"/>
      </w:pPr>
    </w:p>
    <w:p>
      <w:pPr>
        <w:spacing w:before="20" w:after="100"/>
      </w:pPr>
      <w:r>
        <w:rPr>
          <w:rFonts w:ascii="Arial" w:cs="Arial" w:eastAsia="Arial" w:hAnsi="Arial"/>
          <w:color w:val="1A1A2E"/>
          <w:sz w:val="22"/>
          <w:szCs w:val="22"/>
        </w:rPr>
        <w:t xml:space="preserve">Unlike PDE5 inhibitors (sildenafil, tadalafil) — which act peripherally on penile blood vessels — PT-141 acts centrally on the brain. It stimulates melanocortin-4 receptors (MC4R) in the hypothalamus, activating dopaminergic pathways involved in sexual motivation and arousal. This makes it uniquely useful when ED or low libido has a significant central (desire/psychological) component.</w:t>
      </w:r>
    </w:p>
    <w:p>
      <w:pPr>
        <w:spacing w:before="0" w:after="120"/>
      </w:pPr>
    </w:p>
    <w:p>
      <w:pPr>
        <w:pStyle w:val="Heading3"/>
        <w:spacing w:before="100" w:after="60"/>
      </w:pPr>
      <w:r>
        <w:rPr>
          <w:rFonts w:ascii="Arial" w:cs="Arial" w:eastAsia="Arial" w:hAnsi="Arial"/>
          <w:b/>
          <w:bCs/>
          <w:color w:val="1B3A6B"/>
          <w:sz w:val="22"/>
          <w:szCs w:val="22"/>
        </w:rPr>
        <w:t xml:space="preserve">Key Distinction from PDE5 Inhibitors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PDE5 Inhibitors (sildenafil, tadalafil)</w:t>
            </w:r>
          </w:p>
        </w:tc>
        <w:tc>
          <w:tcPr>
            <w:tcW w:type="dxa" w:w="4680"/>
            <w:tcBorders>
              <w:top w:val="single" w:color="1A7A8C" w:sz="1"/>
              <w:left w:val="single" w:color="1A7A8C" w:sz="1"/>
              <w:bottom w:val="single" w:color="1A7A8C" w:sz="1"/>
              <w:right w:val="single" w:color="1A7A8C" w:sz="1"/>
            </w:tcBorders>
            <w:shd w:fill="1A7A8C"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PT-141 / Bremelanotide</w:t>
            </w:r>
          </w:p>
        </w:tc>
      </w:tr>
      <w:tr>
        <w:tc>
          <w:tcPr>
            <w:tcW w:type="dxa" w:w="468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Act on penile blood vessels (peripheral)</w:t>
            </w:r>
          </w:p>
        </w:tc>
        <w:tc>
          <w:tcPr>
            <w:tcW w:type="dxa" w:w="468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Acts on hypothalamus / brain (central)</w:t>
            </w:r>
          </w:p>
        </w:tc>
      </w:tr>
      <w:tr>
        <w:tc>
          <w:tcPr>
            <w:tcW w:type="dxa" w:w="468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Require sexual stimulation to work</w:t>
            </w:r>
          </w:p>
        </w:tc>
        <w:tc>
          <w:tcPr>
            <w:tcW w:type="dxa" w:w="468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Increases desire / arousal from within</w:t>
            </w:r>
          </w:p>
        </w:tc>
      </w:tr>
      <w:tr>
        <w:tc>
          <w:tcPr>
            <w:tcW w:type="dxa" w:w="468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Do not affect libido or desire</w:t>
            </w:r>
          </w:p>
        </w:tc>
        <w:tc>
          <w:tcPr>
            <w:tcW w:type="dxa" w:w="468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Specifically targets sexual motivation</w:t>
            </w:r>
          </w:p>
        </w:tc>
      </w:tr>
      <w:tr>
        <w:tc>
          <w:tcPr>
            <w:tcW w:type="dxa" w:w="468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Contraindicated with nitrates</w:t>
            </w:r>
          </w:p>
        </w:tc>
        <w:tc>
          <w:tcPr>
            <w:tcW w:type="dxa" w:w="468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Not a nitrate-related mechanism; can be combined with clinical judgement</w:t>
            </w:r>
          </w:p>
        </w:tc>
      </w:tr>
      <w:tr>
        <w:tc>
          <w:tcPr>
            <w:tcW w:type="dxa" w:w="468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Absorbed orally</w:t>
            </w:r>
          </w:p>
        </w:tc>
        <w:tc>
          <w:tcPr>
            <w:tcW w:type="dxa" w:w="468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Injected subcutaneously (or intranasal off-label)</w:t>
            </w:r>
          </w:p>
        </w:tc>
      </w:tr>
    </w:tbl>
    <w:p>
      <w:pPr>
        <w:spacing w:before="0" w:after="120"/>
      </w:pPr>
    </w:p>
    <w:p>
      <w:pPr>
        <w:pStyle w:val="Heading3"/>
        <w:spacing w:before="100" w:after="60"/>
      </w:pPr>
      <w:r>
        <w:rPr>
          <w:rFonts w:ascii="Arial" w:cs="Arial" w:eastAsia="Arial" w:hAnsi="Arial"/>
          <w:b/>
          <w:bCs/>
          <w:color w:val="1B3A6B"/>
          <w:sz w:val="22"/>
          <w:szCs w:val="22"/>
        </w:rPr>
        <w:t xml:space="preserve">Dosing</w:t>
      </w:r>
    </w:p>
    <w:p>
      <w:pPr>
        <w:pStyle w:val="ListParagraph"/>
        <w:numPr>
          <w:ilvl w:val="0"/>
          <w:numId w:val="2"/>
        </w:numPr>
        <w:spacing w:before="20" w:after="60"/>
      </w:pPr>
      <w:r>
        <w:rPr>
          <w:rFonts w:ascii="Arial" w:cs="Arial" w:eastAsia="Arial" w:hAnsi="Arial"/>
          <w:color w:val="1A1A2E"/>
          <w:sz w:val="22"/>
          <w:szCs w:val="22"/>
        </w:rPr>
        <w:t xml:space="preserve">Standard dose: 1.75 mg via subcutaneous autoinjector, injected into abdomen or thigh</w:t>
      </w:r>
    </w:p>
    <w:p>
      <w:pPr>
        <w:pStyle w:val="ListParagraph"/>
        <w:numPr>
          <w:ilvl w:val="0"/>
          <w:numId w:val="2"/>
        </w:numPr>
        <w:spacing w:before="20" w:after="60"/>
      </w:pPr>
      <w:r>
        <w:rPr>
          <w:rFonts w:ascii="Arial" w:cs="Arial" w:eastAsia="Arial" w:hAnsi="Arial"/>
          <w:color w:val="1A1A2E"/>
          <w:sz w:val="22"/>
          <w:szCs w:val="22"/>
        </w:rPr>
        <w:t xml:space="preserve">Timing: 45–90 minutes before anticipated sexual activity</w:t>
      </w:r>
    </w:p>
    <w:p>
      <w:pPr>
        <w:pStyle w:val="ListParagraph"/>
        <w:numPr>
          <w:ilvl w:val="0"/>
          <w:numId w:val="2"/>
        </w:numPr>
        <w:spacing w:before="20" w:after="60"/>
      </w:pPr>
      <w:r>
        <w:rPr>
          <w:rFonts w:ascii="Arial" w:cs="Arial" w:eastAsia="Arial" w:hAnsi="Arial"/>
          <w:color w:val="1A1A2E"/>
          <w:sz w:val="22"/>
          <w:szCs w:val="22"/>
        </w:rPr>
        <w:t xml:space="preserve">Maximum frequency: once per 24 hours; not recommended more than 2–3 times per week</w:t>
      </w:r>
    </w:p>
    <w:p>
      <w:pPr>
        <w:pStyle w:val="ListParagraph"/>
        <w:numPr>
          <w:ilvl w:val="0"/>
          <w:numId w:val="2"/>
        </w:numPr>
        <w:spacing w:before="20" w:after="60"/>
      </w:pPr>
      <w:r>
        <w:rPr>
          <w:rFonts w:ascii="Arial" w:cs="Arial" w:eastAsia="Arial" w:hAnsi="Arial"/>
          <w:color w:val="1A1A2E"/>
          <w:sz w:val="22"/>
          <w:szCs w:val="22"/>
        </w:rPr>
        <w:t xml:space="preserve">Some patients benefit from injecting 90 minutes before activity to allow the common initial nausea to pass before arousal is desired</w:t>
      </w:r>
    </w:p>
    <w:p>
      <w:pPr>
        <w:spacing w:before="0" w:after="120"/>
      </w:pPr>
    </w:p>
    <w:p>
      <w:pPr>
        <w:pStyle w:val="Heading3"/>
        <w:spacing w:before="100" w:after="60"/>
      </w:pPr>
      <w:r>
        <w:rPr>
          <w:rFonts w:ascii="Arial" w:cs="Arial" w:eastAsia="Arial" w:hAnsi="Arial"/>
          <w:b/>
          <w:bCs/>
          <w:color w:val="1B3A6B"/>
          <w:sz w:val="22"/>
          <w:szCs w:val="22"/>
        </w:rPr>
        <w:t xml:space="preserve">Potential Benefits</w:t>
      </w:r>
    </w:p>
    <w:p>
      <w:pPr>
        <w:pStyle w:val="ListParagraph"/>
        <w:numPr>
          <w:ilvl w:val="0"/>
          <w:numId w:val="2"/>
        </w:numPr>
        <w:spacing w:before="20" w:after="60"/>
      </w:pPr>
      <w:r>
        <w:rPr>
          <w:rFonts w:ascii="Arial" w:cs="Arial" w:eastAsia="Arial" w:hAnsi="Arial"/>
          <w:color w:val="1A1A2E"/>
          <w:sz w:val="22"/>
          <w:szCs w:val="22"/>
        </w:rPr>
        <w:t xml:space="preserve">Increases sexual desire and motivation — the "want" component that PDE5 inhibitors do not address</w:t>
      </w:r>
    </w:p>
    <w:p>
      <w:pPr>
        <w:pStyle w:val="ListParagraph"/>
        <w:numPr>
          <w:ilvl w:val="0"/>
          <w:numId w:val="2"/>
        </w:numPr>
        <w:spacing w:before="20" w:after="60"/>
      </w:pPr>
      <w:r>
        <w:rPr>
          <w:rFonts w:ascii="Arial" w:cs="Arial" w:eastAsia="Arial" w:hAnsi="Arial"/>
          <w:color w:val="1A1A2E"/>
          <w:sz w:val="22"/>
          <w:szCs w:val="22"/>
        </w:rPr>
        <w:t xml:space="preserve">Improves erectile response when low desire is a contributing factor</w:t>
      </w:r>
    </w:p>
    <w:p>
      <w:pPr>
        <w:pStyle w:val="ListParagraph"/>
        <w:numPr>
          <w:ilvl w:val="0"/>
          <w:numId w:val="2"/>
        </w:numPr>
        <w:spacing w:before="20" w:after="60"/>
      </w:pPr>
      <w:r>
        <w:rPr>
          <w:rFonts w:ascii="Arial" w:cs="Arial" w:eastAsia="Arial" w:hAnsi="Arial"/>
          <w:color w:val="1A1A2E"/>
          <w:sz w:val="22"/>
          <w:szCs w:val="22"/>
        </w:rPr>
        <w:t xml:space="preserve">May be effective when PDE5 inhibitors alone are insufficient</w:t>
      </w:r>
    </w:p>
    <w:p>
      <w:pPr>
        <w:pStyle w:val="ListParagraph"/>
        <w:numPr>
          <w:ilvl w:val="0"/>
          <w:numId w:val="2"/>
        </w:numPr>
        <w:spacing w:before="20" w:after="60"/>
      </w:pPr>
      <w:r>
        <w:rPr>
          <w:rFonts w:ascii="Arial" w:cs="Arial" w:eastAsia="Arial" w:hAnsi="Arial"/>
          <w:color w:val="1A1A2E"/>
          <w:sz w:val="22"/>
          <w:szCs w:val="22"/>
        </w:rPr>
        <w:t xml:space="preserve">Does not require erection-specific vascular mechanism — useful in men with psychological or mixed-aetiology ED</w:t>
      </w:r>
    </w:p>
    <w:p>
      <w:pPr>
        <w:pStyle w:val="ListParagraph"/>
        <w:numPr>
          <w:ilvl w:val="0"/>
          <w:numId w:val="2"/>
        </w:numPr>
        <w:spacing w:before="20" w:after="60"/>
      </w:pPr>
      <w:r>
        <w:rPr>
          <w:rFonts w:ascii="Arial" w:cs="Arial" w:eastAsia="Arial" w:hAnsi="Arial"/>
          <w:color w:val="1A1A2E"/>
          <w:sz w:val="22"/>
          <w:szCs w:val="22"/>
        </w:rPr>
        <w:t xml:space="preserve">May be combined with PDE5 inhibitors for synergistic effect (discuss with clinician)</w:t>
      </w:r>
    </w:p>
    <w:p>
      <w:pPr>
        <w:spacing w:before="0" w:after="120"/>
      </w:pPr>
    </w:p>
    <w:p>
      <w:pPr>
        <w:pStyle w:val="Heading3"/>
        <w:spacing w:before="100" w:after="60"/>
      </w:pPr>
      <w:r>
        <w:rPr>
          <w:rFonts w:ascii="Arial" w:cs="Arial" w:eastAsia="Arial" w:hAnsi="Arial"/>
          <w:b/>
          <w:bCs/>
          <w:color w:val="1B3A6B"/>
          <w:sz w:val="22"/>
          <w:szCs w:val="22"/>
        </w:rPr>
        <w:t xml:space="preserve">Side Effects &amp; Risks</w:t>
      </w:r>
    </w:p>
    <w:p>
      <w:pPr>
        <w:pStyle w:val="ListParagraph"/>
        <w:numPr>
          <w:ilvl w:val="0"/>
          <w:numId w:val="2"/>
        </w:numPr>
        <w:spacing w:before="20" w:after="60"/>
      </w:pPr>
      <w:r>
        <w:rPr>
          <w:rFonts w:ascii="Arial" w:cs="Arial" w:eastAsia="Arial" w:hAnsi="Arial"/>
          <w:color w:val="1A1A2E"/>
          <w:sz w:val="22"/>
          <w:szCs w:val="22"/>
        </w:rPr>
        <w:t xml:space="preserve">Nausea — most common side effect (~40%); occurs 30–60 min post-injection and typically resolves in 1–2 hours</w:t>
      </w:r>
    </w:p>
    <w:p>
      <w:pPr>
        <w:pStyle w:val="ListParagraph"/>
        <w:numPr>
          <w:ilvl w:val="0"/>
          <w:numId w:val="2"/>
        </w:numPr>
        <w:spacing w:before="20" w:after="60"/>
      </w:pPr>
      <w:r>
        <w:rPr>
          <w:rFonts w:ascii="Arial" w:cs="Arial" w:eastAsia="Arial" w:hAnsi="Arial"/>
          <w:color w:val="1A1A2E"/>
          <w:sz w:val="22"/>
          <w:szCs w:val="22"/>
        </w:rPr>
        <w:t xml:space="preserve">Flushing, warmth</w:t>
      </w:r>
    </w:p>
    <w:p>
      <w:pPr>
        <w:pStyle w:val="ListParagraph"/>
        <w:numPr>
          <w:ilvl w:val="0"/>
          <w:numId w:val="2"/>
        </w:numPr>
        <w:spacing w:before="20" w:after="60"/>
      </w:pPr>
      <w:r>
        <w:rPr>
          <w:rFonts w:ascii="Arial" w:cs="Arial" w:eastAsia="Arial" w:hAnsi="Arial"/>
          <w:color w:val="1A1A2E"/>
          <w:sz w:val="22"/>
          <w:szCs w:val="22"/>
        </w:rPr>
        <w:t xml:space="preserve">Transient blood pressure increase: typically 6–10 mmHg systolic for approximately 12 hours — important in hypertensive patients</w:t>
      </w:r>
    </w:p>
    <w:p>
      <w:pPr>
        <w:pStyle w:val="ListParagraph"/>
        <w:numPr>
          <w:ilvl w:val="0"/>
          <w:numId w:val="2"/>
        </w:numPr>
        <w:spacing w:before="20" w:after="60"/>
      </w:pPr>
      <w:r>
        <w:rPr>
          <w:rFonts w:ascii="Arial" w:cs="Arial" w:eastAsia="Arial" w:hAnsi="Arial"/>
          <w:color w:val="1A1A2E"/>
          <w:sz w:val="22"/>
          <w:szCs w:val="22"/>
        </w:rPr>
        <w:t xml:space="preserve">Headache</w:t>
      </w:r>
    </w:p>
    <w:p>
      <w:pPr>
        <w:pStyle w:val="ListParagraph"/>
        <w:numPr>
          <w:ilvl w:val="0"/>
          <w:numId w:val="2"/>
        </w:numPr>
        <w:spacing w:before="20" w:after="60"/>
      </w:pPr>
      <w:r>
        <w:rPr>
          <w:rFonts w:ascii="Arial" w:cs="Arial" w:eastAsia="Arial" w:hAnsi="Arial"/>
          <w:color w:val="1A1A2E"/>
          <w:sz w:val="22"/>
          <w:szCs w:val="22"/>
        </w:rPr>
        <w:t xml:space="preserve">Fatigue or yawning</w:t>
      </w:r>
    </w:p>
    <w:p>
      <w:pPr>
        <w:pStyle w:val="ListParagraph"/>
        <w:numPr>
          <w:ilvl w:val="0"/>
          <w:numId w:val="2"/>
        </w:numPr>
        <w:spacing w:before="20" w:after="60"/>
      </w:pPr>
      <w:r>
        <w:rPr>
          <w:rFonts w:ascii="Arial" w:cs="Arial" w:eastAsia="Arial" w:hAnsi="Arial"/>
          <w:color w:val="1A1A2E"/>
          <w:sz w:val="22"/>
          <w:szCs w:val="22"/>
        </w:rPr>
        <w:t xml:space="preserve">Injection site bruising or redness</w:t>
      </w:r>
    </w:p>
    <w:p>
      <w:pPr>
        <w:pStyle w:val="ListParagraph"/>
        <w:numPr>
          <w:ilvl w:val="0"/>
          <w:numId w:val="2"/>
        </w:numPr>
        <w:spacing w:before="20" w:after="60"/>
      </w:pPr>
      <w:r>
        <w:rPr>
          <w:rFonts w:ascii="Arial" w:cs="Arial" w:eastAsia="Arial" w:hAnsi="Arial"/>
          <w:color w:val="1A1A2E"/>
          <w:sz w:val="22"/>
          <w:szCs w:val="22"/>
        </w:rPr>
        <w:t xml:space="preserve">Hyperpigmentation (darkening of skin or moles) with frequent or prolonged use — uncommon; report new skin changes to clinician</w:t>
      </w:r>
    </w:p>
    <w:p>
      <w:pPr>
        <w:pStyle w:val="ListParagraph"/>
        <w:numPr>
          <w:ilvl w:val="0"/>
          <w:numId w:val="2"/>
        </w:numPr>
        <w:spacing w:before="20" w:after="60"/>
      </w:pPr>
      <w:r>
        <w:rPr>
          <w:rFonts w:ascii="Arial" w:cs="Arial" w:eastAsia="Arial" w:hAnsi="Arial"/>
          <w:color w:val="1A1A2E"/>
          <w:sz w:val="22"/>
          <w:szCs w:val="22"/>
        </w:rPr>
        <w:t xml:space="preserve">Spontaneous erections not associated with sexual stimulation (uncommon)</w:t>
      </w:r>
    </w:p>
    <w:p>
      <w:pPr>
        <w:spacing w:before="0" w:after="120"/>
      </w:pPr>
    </w:p>
    <w:p>
      <w:pPr>
        <w:pStyle w:val="Heading3"/>
        <w:spacing w:before="100" w:after="60"/>
      </w:pPr>
      <w:r>
        <w:rPr>
          <w:rFonts w:ascii="Arial" w:cs="Arial" w:eastAsia="Arial" w:hAnsi="Arial"/>
          <w:b/>
          <w:bCs/>
          <w:color w:val="1B3A6B"/>
          <w:sz w:val="22"/>
          <w:szCs w:val="22"/>
        </w:rPr>
        <w:t xml:space="preserve">Contraindications — PT-141 / Bremelanotide</w:t>
      </w:r>
    </w:p>
    <w:p>
      <w:pPr>
        <w:pStyle w:val="ListParagraph"/>
        <w:numPr>
          <w:ilvl w:val="0"/>
          <w:numId w:val="2"/>
        </w:numPr>
        <w:spacing w:before="20" w:after="60"/>
      </w:pPr>
      <w:r>
        <w:rPr>
          <w:rFonts w:ascii="Arial" w:cs="Arial" w:eastAsia="Arial" w:hAnsi="Arial"/>
          <w:color w:val="1A1A2E"/>
          <w:sz w:val="22"/>
          <w:szCs w:val="22"/>
        </w:rPr>
        <w:t xml:space="preserve">Uncontrolled hypertension (systolic &gt;160 or diastolic &gt;100 mmHg) — the transient BP elevation may be dangerous</w:t>
      </w:r>
    </w:p>
    <w:p>
      <w:pPr>
        <w:pStyle w:val="ListParagraph"/>
        <w:numPr>
          <w:ilvl w:val="0"/>
          <w:numId w:val="2"/>
        </w:numPr>
        <w:spacing w:before="20" w:after="60"/>
      </w:pPr>
      <w:r>
        <w:rPr>
          <w:rFonts w:ascii="Arial" w:cs="Arial" w:eastAsia="Arial" w:hAnsi="Arial"/>
          <w:color w:val="1A1A2E"/>
          <w:sz w:val="22"/>
          <w:szCs w:val="22"/>
        </w:rPr>
        <w:t xml:space="preserve">Significant cardiovascular disease or high Framingham risk — must be discussed with clinician; relative contraindication</w:t>
      </w:r>
    </w:p>
    <w:p>
      <w:pPr>
        <w:pStyle w:val="ListParagraph"/>
        <w:numPr>
          <w:ilvl w:val="0"/>
          <w:numId w:val="2"/>
        </w:numPr>
        <w:spacing w:before="20" w:after="60"/>
      </w:pPr>
      <w:r>
        <w:rPr>
          <w:rFonts w:ascii="Arial" w:cs="Arial" w:eastAsia="Arial" w:hAnsi="Arial"/>
          <w:color w:val="1A1A2E"/>
          <w:sz w:val="22"/>
          <w:szCs w:val="22"/>
        </w:rPr>
        <w:t xml:space="preserve">Concurrent medications that significantly elevate blood pressure</w:t>
      </w:r>
    </w:p>
    <w:p>
      <w:pPr>
        <w:pStyle w:val="ListParagraph"/>
        <w:numPr>
          <w:ilvl w:val="0"/>
          <w:numId w:val="2"/>
        </w:numPr>
        <w:spacing w:before="20" w:after="60"/>
      </w:pPr>
      <w:r>
        <w:rPr>
          <w:rFonts w:ascii="Arial" w:cs="Arial" w:eastAsia="Arial" w:hAnsi="Arial"/>
          <w:color w:val="1A1A2E"/>
          <w:sz w:val="22"/>
          <w:szCs w:val="22"/>
        </w:rPr>
        <w:t xml:space="preserve">Known hypersensitivity to bremelanotide</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Off-Label Use Notice — PT-141 in Men</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Bremelanotide (PT-141) is FDA-approved as Vyleesi® for hypoactive sexual desire disorder in premenopausal women. Its use in men is off-label. Clinical evidence supports its efficacy for psychogenic and mixed-aetiology ED in men, and it is used at men's health clinics with informed consent. Compounded bremelanotide is available through licensed compounding pharmacies. The regulatory status of compounded bremelanotide is subject to change.</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4.  Compounded Peptide Medications — Important Disclosures</w:t>
            </w:r>
          </w:p>
        </w:tc>
      </w:tr>
    </w:tbl>
    <w:p>
      <w:pPr>
        <w:spacing w:before="0" w:after="160"/>
      </w:pPr>
    </w:p>
    <w:p>
      <w:pPr>
        <w:spacing w:before="20" w:after="100"/>
      </w:pPr>
      <w:r>
        <w:rPr>
          <w:rFonts w:ascii="Arial" w:cs="Arial" w:eastAsia="Arial" w:hAnsi="Arial"/>
          <w:color w:val="1A1A2E"/>
          <w:sz w:val="22"/>
          <w:szCs w:val="22"/>
        </w:rPr>
        <w:t xml:space="preserve">Both sermorelin and compounded PT-141 are prepared by licensed 503A or 503B compounding pharmacies. The following disclosures apply to all compounded peptide medications:</w:t>
      </w:r>
    </w:p>
    <w:p>
      <w:pPr>
        <w:spacing w:before="0" w:after="100"/>
      </w:pPr>
    </w:p>
    <w:p>
      <w:pPr>
        <w:pStyle w:val="ListParagraph"/>
        <w:numPr>
          <w:ilvl w:val="0"/>
          <w:numId w:val="2"/>
        </w:numPr>
        <w:spacing w:before="20" w:after="60"/>
      </w:pPr>
      <w:r>
        <w:rPr>
          <w:rFonts w:ascii="Arial" w:cs="Arial" w:eastAsia="Arial" w:hAnsi="Arial"/>
          <w:color w:val="1A1A2E"/>
          <w:sz w:val="22"/>
          <w:szCs w:val="22"/>
        </w:rPr>
        <w:t xml:space="preserve">Compounded medications are prepared individually or in batches by licensed pharmacies but are not FDA-approved as finished drug products. They are not subject to the same pre-market approval process as commercially manufactured drugs.</w:t>
      </w:r>
    </w:p>
    <w:p>
      <w:pPr>
        <w:pStyle w:val="ListParagraph"/>
        <w:numPr>
          <w:ilvl w:val="0"/>
          <w:numId w:val="2"/>
        </w:numPr>
        <w:spacing w:before="20" w:after="60"/>
      </w:pPr>
      <w:r>
        <w:rPr>
          <w:rFonts w:ascii="Arial" w:cs="Arial" w:eastAsia="Arial" w:hAnsi="Arial"/>
          <w:color w:val="1A1A2E"/>
          <w:sz w:val="22"/>
          <w:szCs w:val="22"/>
        </w:rPr>
        <w:t xml:space="preserve">Quality and potency may vary between compounding pharmacies and between batches. Revive works with licensed, accredited compounding pharmacies and requires certificates of analysis for all compounded peptides.</w:t>
      </w:r>
    </w:p>
    <w:p>
      <w:pPr>
        <w:pStyle w:val="ListParagraph"/>
        <w:numPr>
          <w:ilvl w:val="0"/>
          <w:numId w:val="2"/>
        </w:numPr>
        <w:spacing w:before="20" w:after="60"/>
      </w:pPr>
      <w:r>
        <w:rPr>
          <w:rFonts w:ascii="Arial" w:cs="Arial" w:eastAsia="Arial" w:hAnsi="Arial"/>
          <w:color w:val="1A1A2E"/>
          <w:sz w:val="22"/>
          <w:szCs w:val="22"/>
        </w:rPr>
        <w:t xml:space="preserve">The regulatory status of compounded peptides is evolving. The FDA has removed certain peptides from the list of eligible compounding ingredients at various times. This may affect the future availability of specific peptides. Your clinician will advise you of any material regulatory changes that affect your current treatment.</w:t>
      </w:r>
    </w:p>
    <w:p>
      <w:pPr>
        <w:pStyle w:val="ListParagraph"/>
        <w:numPr>
          <w:ilvl w:val="0"/>
          <w:numId w:val="2"/>
        </w:numPr>
        <w:spacing w:before="20" w:after="60"/>
      </w:pPr>
      <w:r>
        <w:rPr>
          <w:rFonts w:ascii="Arial" w:cs="Arial" w:eastAsia="Arial" w:hAnsi="Arial"/>
          <w:color w:val="1A1A2E"/>
          <w:sz w:val="22"/>
          <w:szCs w:val="22"/>
        </w:rPr>
        <w:t xml:space="preserve">Insurance typically does not cover compounded peptide medications. Expect to pay out-of-pocket.</w:t>
      </w:r>
    </w:p>
    <w:p>
      <w:pPr>
        <w:pStyle w:val="ListParagraph"/>
        <w:numPr>
          <w:ilvl w:val="0"/>
          <w:numId w:val="2"/>
        </w:numPr>
        <w:spacing w:before="20" w:after="60"/>
      </w:pPr>
      <w:r>
        <w:rPr>
          <w:rFonts w:ascii="Arial" w:cs="Arial" w:eastAsia="Arial" w:hAnsi="Arial"/>
          <w:color w:val="1A1A2E"/>
          <w:sz w:val="22"/>
          <w:szCs w:val="22"/>
        </w:rPr>
        <w:t xml:space="preserve">Long-term safety data for compounded peptide use in healthy adults is limited. You are accepting a higher degree of uncertainty about long-term risks than you would with established FDA-approved medications.</w:t>
      </w:r>
    </w:p>
    <w:p>
      <w:pPr>
        <w:pStyle w:val="ListParagraph"/>
        <w:numPr>
          <w:ilvl w:val="0"/>
          <w:numId w:val="2"/>
        </w:numPr>
        <w:spacing w:before="20" w:after="60"/>
      </w:pPr>
      <w:r>
        <w:rPr>
          <w:rFonts w:ascii="Arial" w:cs="Arial" w:eastAsia="Arial" w:hAnsi="Arial"/>
          <w:color w:val="1A1A2E"/>
          <w:sz w:val="22"/>
          <w:szCs w:val="22"/>
        </w:rPr>
        <w:t xml:space="preserve">FDA testing of compounded peptides in 2024 found that approximately 40% of products tested contained incorrect dosages or undeclared ingredients. To mitigate this risk, Revive requires certificates of analysis for all compounded peptide medications and sources exclusively from licensed 503A or 503B-registered compounding pharmacies. You may request a copy of the certificate of analysis for your specific medication at any time.</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5.  Patient Acknowledgements</w:t>
            </w:r>
          </w:p>
        </w:tc>
      </w:tr>
    </w:tbl>
    <w:p>
      <w:pPr>
        <w:spacing w:before="0" w:after="160"/>
      </w:pPr>
    </w:p>
    <w:p>
      <w:pPr>
        <w:spacing w:before="20" w:after="100"/>
      </w:pPr>
      <w:r>
        <w:rPr>
          <w:rFonts w:ascii="Arial" w:cs="Arial" w:eastAsia="Arial" w:hAnsi="Arial"/>
          <w:color w:val="1A1A2E"/>
          <w:sz w:val="22"/>
          <w:szCs w:val="22"/>
        </w:rPr>
        <w:t xml:space="preserve">By signing below, I confirm that:</w:t>
      </w:r>
    </w:p>
    <w:p>
      <w:pPr>
        <w:spacing w:before="0" w:after="100"/>
      </w:pPr>
    </w:p>
    <w:p>
      <w:pPr>
        <w:pStyle w:val="ListParagraph"/>
        <w:numPr>
          <w:ilvl w:val="0"/>
          <w:numId w:val="3"/>
        </w:numPr>
        <w:spacing w:before="20" w:after="80"/>
      </w:pPr>
      <w:r>
        <w:rPr>
          <w:rFonts w:ascii="Arial" w:cs="Arial" w:eastAsia="Arial" w:hAnsi="Arial"/>
          <w:color w:val="1A1A2E"/>
          <w:sz w:val="22"/>
          <w:szCs w:val="22"/>
        </w:rPr>
        <w:t xml:space="preserve">I have read this informed consent document for peptide therapy and had the opportunity to ask questions.</w:t>
      </w:r>
    </w:p>
    <w:p>
      <w:pPr>
        <w:pStyle w:val="ListParagraph"/>
        <w:numPr>
          <w:ilvl w:val="0"/>
          <w:numId w:val="3"/>
        </w:numPr>
        <w:spacing w:before="20" w:after="80"/>
      </w:pPr>
      <w:r>
        <w:rPr>
          <w:rFonts w:ascii="Arial" w:cs="Arial" w:eastAsia="Arial" w:hAnsi="Arial"/>
          <w:color w:val="1A1A2E"/>
          <w:sz w:val="22"/>
          <w:szCs w:val="22"/>
        </w:rPr>
        <w:t xml:space="preserve">I understand the mechanism, potential benefits, known risks, and contraindications of the peptide(s) discussed.</w:t>
      </w:r>
    </w:p>
    <w:p>
      <w:pPr>
        <w:pStyle w:val="ListParagraph"/>
        <w:numPr>
          <w:ilvl w:val="0"/>
          <w:numId w:val="3"/>
        </w:numPr>
        <w:spacing w:before="20" w:after="80"/>
      </w:pPr>
      <w:r>
        <w:rPr>
          <w:rFonts w:ascii="Arial" w:cs="Arial" w:eastAsia="Arial" w:hAnsi="Arial"/>
          <w:color w:val="1A1A2E"/>
          <w:sz w:val="22"/>
          <w:szCs w:val="22"/>
        </w:rPr>
        <w:t xml:space="preserve">I understand that sermorelin is a compounded medication, not FDA-approved as a finished drug product, and that it is prescribed off-label for adults.</w:t>
      </w:r>
    </w:p>
    <w:p>
      <w:pPr>
        <w:pStyle w:val="ListParagraph"/>
        <w:numPr>
          <w:ilvl w:val="0"/>
          <w:numId w:val="3"/>
        </w:numPr>
        <w:spacing w:before="20" w:after="80"/>
      </w:pPr>
      <w:r>
        <w:rPr>
          <w:rFonts w:ascii="Arial" w:cs="Arial" w:eastAsia="Arial" w:hAnsi="Arial"/>
          <w:color w:val="1A1A2E"/>
          <w:sz w:val="22"/>
          <w:szCs w:val="22"/>
        </w:rPr>
        <w:t xml:space="preserve">I understand that PT-141 / bremelanotide is FDA-approved for a different indication (HSDD in women) and that its use in men is off-label.</w:t>
      </w:r>
    </w:p>
    <w:p>
      <w:pPr>
        <w:pStyle w:val="ListParagraph"/>
        <w:numPr>
          <w:ilvl w:val="0"/>
          <w:numId w:val="3"/>
        </w:numPr>
        <w:spacing w:before="20" w:after="80"/>
      </w:pPr>
      <w:r>
        <w:rPr>
          <w:rFonts w:ascii="Arial" w:cs="Arial" w:eastAsia="Arial" w:hAnsi="Arial"/>
          <w:color w:val="1A1A2E"/>
          <w:sz w:val="22"/>
          <w:szCs w:val="22"/>
        </w:rPr>
        <w:t xml:space="preserve">I understand that compounded medications may vary in potency between batches and that regulatory availability may change.</w:t>
      </w:r>
    </w:p>
    <w:p>
      <w:pPr>
        <w:pStyle w:val="ListParagraph"/>
        <w:numPr>
          <w:ilvl w:val="0"/>
          <w:numId w:val="3"/>
        </w:numPr>
        <w:spacing w:before="20" w:after="80"/>
      </w:pPr>
      <w:r>
        <w:rPr>
          <w:rFonts w:ascii="Arial" w:cs="Arial" w:eastAsia="Arial" w:hAnsi="Arial"/>
          <w:color w:val="1A1A2E"/>
          <w:sz w:val="22"/>
          <w:szCs w:val="22"/>
        </w:rPr>
        <w:t xml:space="preserve">I understand that long-term safety data for these peptides in healthy adults is more limited than for standard FDA-approved medications, and I accept this uncertainty as part of my informed decision.</w:t>
      </w:r>
    </w:p>
    <w:p>
      <w:pPr>
        <w:pStyle w:val="ListParagraph"/>
        <w:numPr>
          <w:ilvl w:val="0"/>
          <w:numId w:val="3"/>
        </w:numPr>
        <w:spacing w:before="20" w:after="80"/>
      </w:pPr>
      <w:r>
        <w:rPr>
          <w:rFonts w:ascii="Arial" w:cs="Arial" w:eastAsia="Arial" w:hAnsi="Arial"/>
          <w:color w:val="1A1A2E"/>
          <w:sz w:val="22"/>
          <w:szCs w:val="22"/>
        </w:rPr>
        <w:t xml:space="preserve">I understand that insurance typically does not cover compounded peptide medications and I am prepared to pay out-of-pocket.</w:t>
      </w:r>
    </w:p>
    <w:p>
      <w:pPr>
        <w:pStyle w:val="ListParagraph"/>
        <w:numPr>
          <w:ilvl w:val="0"/>
          <w:numId w:val="3"/>
        </w:numPr>
        <w:spacing w:before="20" w:after="80"/>
      </w:pPr>
      <w:r>
        <w:rPr>
          <w:rFonts w:ascii="Arial" w:cs="Arial" w:eastAsia="Arial" w:hAnsi="Arial"/>
          <w:color w:val="1A1A2E"/>
          <w:sz w:val="22"/>
          <w:szCs w:val="22"/>
        </w:rPr>
        <w:t xml:space="preserve">I understand that no specific outcome is guaranteed and that results vary significantly between individuals.</w:t>
      </w:r>
    </w:p>
    <w:p>
      <w:pPr>
        <w:pStyle w:val="ListParagraph"/>
        <w:numPr>
          <w:ilvl w:val="0"/>
          <w:numId w:val="3"/>
        </w:numPr>
        <w:spacing w:before="20" w:after="80"/>
      </w:pPr>
      <w:r>
        <w:rPr>
          <w:rFonts w:ascii="Arial" w:cs="Arial" w:eastAsia="Arial" w:hAnsi="Arial"/>
          <w:color w:val="1A1A2E"/>
          <w:sz w:val="22"/>
          <w:szCs w:val="22"/>
        </w:rPr>
        <w:t xml:space="preserve">For sermorelin: I understand that I must notify my clinician if I am diagnosed with cancer or develop any lumps, swelling, or new neurological symptoms during treatment.</w:t>
      </w:r>
    </w:p>
    <w:p>
      <w:pPr>
        <w:pStyle w:val="ListParagraph"/>
        <w:numPr>
          <w:ilvl w:val="0"/>
          <w:numId w:val="3"/>
        </w:numPr>
        <w:spacing w:before="20" w:after="80"/>
      </w:pPr>
      <w:r>
        <w:rPr>
          <w:rFonts w:ascii="Arial" w:cs="Arial" w:eastAsia="Arial" w:hAnsi="Arial"/>
          <w:color w:val="1A1A2E"/>
          <w:sz w:val="22"/>
          <w:szCs w:val="22"/>
        </w:rPr>
        <w:t xml:space="preserve">For PT-141: I understand that I must notify my clinician of any new or worsening skin changes (pigmentation), and that I should not use PT-141 if my blood pressure is uncontrolled.</w:t>
      </w:r>
    </w:p>
    <w:p>
      <w:pPr>
        <w:pStyle w:val="ListParagraph"/>
        <w:numPr>
          <w:ilvl w:val="0"/>
          <w:numId w:val="3"/>
        </w:numPr>
        <w:spacing w:before="20" w:after="80"/>
      </w:pPr>
      <w:r>
        <w:rPr>
          <w:rFonts w:ascii="Arial" w:cs="Arial" w:eastAsia="Arial" w:hAnsi="Arial"/>
          <w:color w:val="1A1A2E"/>
          <w:sz w:val="22"/>
          <w:szCs w:val="22"/>
        </w:rPr>
        <w:t xml:space="preserve">I consent to the peptide therapy discussed and documented in my medical record.</w:t>
      </w:r>
    </w:p>
    <w:p>
      <w:pPr>
        <w:spacing w:before="0" w:after="24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Patient Signature</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w:t>
            </w:r>
          </w:p>
        </w:tc>
      </w:tr>
    </w:tbl>
    <w:p>
      <w:pPr>
        <w:spacing w:before="0" w:after="20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Printed Name</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 of Birth</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Clinician Name &amp; NPI</w:t>
            </w:r>
          </w:p>
        </w:tc>
      </w:tr>
    </w:tbl>
    <w:p>
      <w:pPr>
        <w:spacing w:before="0" w:after="2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Document Control</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Informed Consent — Peptide Therapy  ·  v1.1  ·  March 2026  ·  Patients on active peptide therapy must re-acknowledge this consent at their annual follow-up.  ·  Updated versions provided when material regulatory or compounding changes occur.  ·  File in patient medical record. Provide copy to patient.</w:t>
            </w:r>
          </w:p>
        </w:tc>
      </w:tr>
    </w:tbl>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pBdr>
      <w:spacing w:before="80" w:after="0"/>
    </w:pPr>
    <w:r>
      <w:rPr>
        <w:rFonts w:ascii="Arial" w:cs="Arial" w:eastAsia="Arial" w:hAnsi="Arial"/>
        <w:color w:val="888888"/>
        <w:sz w:val="18"/>
        <w:szCs w:val="18"/>
      </w:rPr>
      <w:t xml:space="preserve">Revive Low T Clinic  ·  Informed Consent — Peptide Therapy  ·  206-960-4770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shd w:fill="1B3A6B" w:val="clear"/>
          <w:tcMar>
            <w:top w:type="dxa" w:w="80"/>
            <w:left w:type="dxa" w:w="160"/>
            <w:bottom w:type="dxa" w:w="80"/>
            <w:right w:type="dxa" w:w="80"/>
          </w:tcMar>
        </w:tcPr>
        <w:p>
          <w:pPr>
            <w:spacing w:before="0" w:after="0"/>
          </w:pPr>
          <w:r>
            <w:rPr>
              <w:rFonts w:ascii="Arial" w:cs="Arial" w:eastAsia="Arial" w:hAnsi="Arial"/>
              <w:b/>
              <w:bCs/>
              <w:color w:val="FFFFFF"/>
              <w:sz w:val="20"/>
              <w:szCs w:val="20"/>
            </w:rPr>
            <w:t xml:space="preserve">REVIVE LOW T CLINIC</w:t>
          </w:r>
        </w:p>
      </w:tc>
      <w:tc>
        <w:tcPr>
          <w:tcW w:type="dxa" w:w="3960"/>
          <w:tcBorders>
            <w:top w:val="none" w:color="FFFFFF" w:sz="0"/>
            <w:left w:val="none" w:color="FFFFFF" w:sz="0"/>
            <w:bottom w:val="none" w:color="FFFFFF" w:sz="0"/>
            <w:right w:val="none" w:color="FFFFFF" w:sz="0"/>
          </w:tcBorders>
          <w:shd w:fill="1B3A6B" w:val="clear"/>
          <w:tcMar>
            <w:top w:type="dxa" w:w="80"/>
            <w:left w:type="dxa" w:w="80"/>
            <w:bottom w:type="dxa" w:w="80"/>
            <w:right w:type="dxa" w:w="160"/>
          </w:tcMar>
        </w:tcPr>
        <w:p>
          <w:pPr>
            <w:spacing w:before="0" w:after="0"/>
            <w:jc w:val="right"/>
          </w:pPr>
          <w:r>
            <w:rPr>
              <w:rFonts w:ascii="Arial" w:cs="Arial" w:eastAsia="Arial" w:hAnsi="Arial"/>
              <w:color w:val="FFFFFF"/>
              <w:sz w:val="18"/>
              <w:szCs w:val="18"/>
            </w:rPr>
            <w:t xml:space="preserve">Informed Consent — Peptides  |  206-960-4770</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80"/>
      <w:outlineLvl w:val="0"/>
    </w:pPr>
    <w:rPr>
      <w:rFonts w:ascii="Arial" w:cs="Arial" w:eastAsia="Arial" w:hAnsi="Arial"/>
      <w:b/>
      <w:bCs/>
      <w:color w:val="1B3A6B"/>
      <w:sz w:val="28"/>
      <w:szCs w:val="28"/>
    </w:rPr>
  </w:style>
  <w:style w:type="paragraph" w:styleId="Heading2">
    <w:name w:val="Heading 2"/>
    <w:basedOn w:val="Normal"/>
    <w:next w:val="Normal"/>
    <w:qFormat/>
    <w:pPr>
      <w:spacing w:before="180" w:after="60"/>
      <w:outlineLvl w:val="1"/>
    </w:pPr>
    <w:rPr>
      <w:rFonts w:ascii="Arial" w:cs="Arial" w:eastAsia="Arial" w:hAnsi="Arial"/>
      <w:b/>
      <w:bCs/>
      <w:color w:val="1A7A8C"/>
      <w:sz w:val="24"/>
      <w:szCs w:val="24"/>
    </w:rPr>
  </w:style>
  <w:style w:type="paragraph" w:styleId="Heading3">
    <w:name w:val="Heading 3"/>
    <w:basedOn w:val="Normal"/>
    <w:next w:val="Normal"/>
    <w:qFormat/>
    <w:pPr>
      <w:spacing w:before="140" w:after="4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2026-03-18T16:06:24.206Z</dcterms:created>
  <dcterms:modified xsi:type="dcterms:W3CDTF">2026-03-18T16:06:24.207Z</dcterms:modified>
</cp:coreProperties>
</file>

<file path=docProps/custom.xml><?xml version="1.0" encoding="utf-8"?>
<Properties xmlns="http://schemas.openxmlformats.org/officeDocument/2006/custom-properties" xmlns:vt="http://schemas.openxmlformats.org/officeDocument/2006/docPropsVTypes"/>
</file>