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pPr>
    </w:p>
    <w:p>
      <w:pPr>
        <w:spacing w:before="0" w:after="60"/>
        <w:jc w:val="center"/>
      </w:pPr>
      <w:r>
        <w:rPr>
          <w:rFonts w:ascii="Arial" w:cs="Arial" w:eastAsia="Arial" w:hAnsi="Arial"/>
          <w:b/>
          <w:bCs/>
          <w:color w:val="1B3A6B"/>
          <w:sz w:val="52"/>
          <w:szCs w:val="52"/>
        </w:rPr>
        <w:t xml:space="preserve">INFORMED CONSENT</w:t>
      </w:r>
    </w:p>
    <w:p>
      <w:pPr>
        <w:spacing w:before="0" w:after="60"/>
        <w:jc w:val="center"/>
      </w:pPr>
      <w:r>
        <w:rPr>
          <w:rFonts w:ascii="Arial" w:cs="Arial" w:eastAsia="Arial" w:hAnsi="Arial"/>
          <w:b/>
          <w:bCs/>
          <w:color w:val="1A7A8C"/>
          <w:sz w:val="30"/>
          <w:szCs w:val="30"/>
        </w:rPr>
        <w:t xml:space="preserve">Erectile Dysfunction Treatment</w:t>
      </w:r>
    </w:p>
    <w:p>
      <w:pPr>
        <w:spacing w:before="0" w:after="280"/>
        <w:jc w:val="center"/>
      </w:pPr>
      <w:r>
        <w:rPr>
          <w:rFonts w:ascii="Arial" w:cs="Arial" w:eastAsia="Arial" w:hAnsi="Arial"/>
          <w:color w:val="888888"/>
          <w:sz w:val="20"/>
          <w:szCs w:val="20"/>
        </w:rPr>
        <w:t xml:space="preserve">Revive Low T Clinic  ·  206-960-4770  ·  v1.0  ·  March 2026</w:t>
      </w:r>
    </w:p>
    <w:p>
      <w:pPr>
        <w:pBdr>
          <w:bottom w:val="single" w:color="1B3A6B" w:sz="8"/>
        </w:pBdr>
        <w:spacing w:before="0" w:after="0"/>
      </w:pP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Patient Name</w:t>
            </w:r>
          </w:p>
          <w:p>
            <w:pPr>
              <w:pBdr>
                <w:bottom w:val="single" w:color="BDC3C7" w:sz="3"/>
              </w:pBdr>
              <w:spacing w:before="320" w:after="0"/>
            </w:pPr>
          </w:p>
        </w:tc>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888888"/>
                <w:sz w:val="19"/>
                <w:szCs w:val="19"/>
              </w:rPr>
              <w:t xml:space="preserve">Date of Consent</w:t>
            </w:r>
          </w:p>
          <w:p>
            <w:pPr>
              <w:pBdr>
                <w:bottom w:val="single" w:color="BDC3C7" w:sz="3"/>
              </w:pBdr>
              <w:spacing w:before="320" w:after="0"/>
            </w:pP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1.  Purpose of This Document</w:t>
            </w:r>
          </w:p>
        </w:tc>
      </w:tr>
    </w:tbl>
    <w:p>
      <w:pPr>
        <w:spacing w:before="0" w:after="160"/>
      </w:pPr>
    </w:p>
    <w:p>
      <w:pPr>
        <w:spacing w:before="20" w:after="100"/>
      </w:pPr>
      <w:r>
        <w:rPr>
          <w:rFonts w:ascii="Arial" w:cs="Arial" w:eastAsia="Arial" w:hAnsi="Arial"/>
          <w:color w:val="1A1A2E"/>
          <w:sz w:val="22"/>
          <w:szCs w:val="22"/>
        </w:rPr>
        <w:t xml:space="preserve">This document provides information about medications available at Revive Low T Clinic for the treatment of erectile dysfunction (ED). It describes the mechanisms, benefits, risks, side effects, and contraindications of each option so that you can make an informed, voluntary decision about your care in partnership with your clinician.</w:t>
      </w:r>
    </w:p>
    <w:p>
      <w:pPr>
        <w:spacing w:before="0" w:after="100"/>
      </w:pPr>
    </w:p>
    <w:p>
      <w:pPr>
        <w:spacing w:before="20" w:after="100"/>
      </w:pPr>
      <w:r>
        <w:rPr>
          <w:rFonts w:ascii="Arial" w:cs="Arial" w:eastAsia="Arial" w:hAnsi="Arial"/>
          <w:color w:val="1A1A2E"/>
          <w:sz w:val="22"/>
          <w:szCs w:val="22"/>
        </w:rPr>
        <w:t xml:space="preserve">Erectile dysfunction is defined as the persistent inability to achieve or maintain an erection sufficient for satisfactory sexual intercourse. ED affects approximately 30 million men in the United States and is increasingly recognised as a marker of underlying cardiovascular and metabolic health. Effective, evidence-based treatments are available.</w:t>
      </w:r>
    </w:p>
    <w:p>
      <w:pPr>
        <w:spacing w:before="0" w:after="10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Your Rights</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You have the right to: ask questions about any medication before taking it; decline any treatment without penalty; withdraw consent at any time; and request a second opinion. Signing this form does not limit these rights.</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2.  Understanding Erectile Dysfunction</w:t>
            </w:r>
          </w:p>
        </w:tc>
      </w:tr>
    </w:tbl>
    <w:p>
      <w:pPr>
        <w:spacing w:before="0" w:after="160"/>
      </w:pPr>
    </w:p>
    <w:p>
      <w:pPr>
        <w:spacing w:before="20" w:after="100"/>
      </w:pPr>
      <w:r>
        <w:rPr>
          <w:rFonts w:ascii="Arial" w:cs="Arial" w:eastAsia="Arial" w:hAnsi="Arial"/>
          <w:color w:val="1A1A2E"/>
          <w:sz w:val="22"/>
          <w:szCs w:val="22"/>
        </w:rPr>
        <w:t xml:space="preserve">Erections are mediated by a complex interplay of vascular, neurological, hormonal, and psychological factors. Common contributing causes include:</w:t>
      </w:r>
    </w:p>
    <w:p>
      <w:pPr>
        <w:spacing w:before="0" w:after="80"/>
      </w:pPr>
    </w:p>
    <w:p>
      <w:pPr>
        <w:pStyle w:val="ListParagraph"/>
        <w:numPr>
          <w:ilvl w:val="0"/>
          <w:numId w:val="2"/>
        </w:numPr>
        <w:spacing w:before="20" w:after="60"/>
      </w:pPr>
      <w:r>
        <w:rPr>
          <w:rFonts w:ascii="Arial" w:cs="Arial" w:eastAsia="Arial" w:hAnsi="Arial"/>
          <w:color w:val="1A1A2E"/>
          <w:sz w:val="22"/>
          <w:szCs w:val="22"/>
        </w:rPr>
        <w:t xml:space="preserve">Cardiovascular disease and hypertension — arterial disease that reduces blood flow to the penis</w:t>
      </w:r>
    </w:p>
    <w:p>
      <w:pPr>
        <w:pStyle w:val="ListParagraph"/>
        <w:numPr>
          <w:ilvl w:val="0"/>
          <w:numId w:val="2"/>
        </w:numPr>
        <w:spacing w:before="20" w:after="60"/>
      </w:pPr>
      <w:r>
        <w:rPr>
          <w:rFonts w:ascii="Arial" w:cs="Arial" w:eastAsia="Arial" w:hAnsi="Arial"/>
          <w:color w:val="1A1A2E"/>
          <w:sz w:val="22"/>
          <w:szCs w:val="22"/>
        </w:rPr>
        <w:t xml:space="preserve">Testosterone deficiency — low testosterone reduces both libido and erectile response</w:t>
      </w:r>
    </w:p>
    <w:p>
      <w:pPr>
        <w:pStyle w:val="ListParagraph"/>
        <w:numPr>
          <w:ilvl w:val="0"/>
          <w:numId w:val="2"/>
        </w:numPr>
        <w:spacing w:before="20" w:after="60"/>
      </w:pPr>
      <w:r>
        <w:rPr>
          <w:rFonts w:ascii="Arial" w:cs="Arial" w:eastAsia="Arial" w:hAnsi="Arial"/>
          <w:color w:val="1A1A2E"/>
          <w:sz w:val="22"/>
          <w:szCs w:val="22"/>
        </w:rPr>
        <w:t xml:space="preserve">Diabetes and metabolic syndrome — damage to blood vessels and nerves supplying erectile tissue</w:t>
      </w:r>
    </w:p>
    <w:p>
      <w:pPr>
        <w:pStyle w:val="ListParagraph"/>
        <w:numPr>
          <w:ilvl w:val="0"/>
          <w:numId w:val="2"/>
        </w:numPr>
        <w:spacing w:before="20" w:after="60"/>
      </w:pPr>
      <w:r>
        <w:rPr>
          <w:rFonts w:ascii="Arial" w:cs="Arial" w:eastAsia="Arial" w:hAnsi="Arial"/>
          <w:color w:val="1A1A2E"/>
          <w:sz w:val="22"/>
          <w:szCs w:val="22"/>
        </w:rPr>
        <w:t xml:space="preserve">Neurological conditions — pelvic surgery, multiple sclerosis, spinal cord injury</w:t>
      </w:r>
    </w:p>
    <w:p>
      <w:pPr>
        <w:pStyle w:val="ListParagraph"/>
        <w:numPr>
          <w:ilvl w:val="0"/>
          <w:numId w:val="2"/>
        </w:numPr>
        <w:spacing w:before="20" w:after="60"/>
      </w:pPr>
      <w:r>
        <w:rPr>
          <w:rFonts w:ascii="Arial" w:cs="Arial" w:eastAsia="Arial" w:hAnsi="Arial"/>
          <w:color w:val="1A1A2E"/>
          <w:sz w:val="22"/>
          <w:szCs w:val="22"/>
        </w:rPr>
        <w:t xml:space="preserve">Medications — antidepressants (SSRIs), antihypertensives, and others can impair erectile function</w:t>
      </w:r>
    </w:p>
    <w:p>
      <w:pPr>
        <w:pStyle w:val="ListParagraph"/>
        <w:numPr>
          <w:ilvl w:val="0"/>
          <w:numId w:val="2"/>
        </w:numPr>
        <w:spacing w:before="20" w:after="60"/>
      </w:pPr>
      <w:r>
        <w:rPr>
          <w:rFonts w:ascii="Arial" w:cs="Arial" w:eastAsia="Arial" w:hAnsi="Arial"/>
          <w:color w:val="1A1A2E"/>
          <w:sz w:val="22"/>
          <w:szCs w:val="22"/>
        </w:rPr>
        <w:t xml:space="preserve">Psychological factors — performance anxiety, depression, stress, relationship issues</w:t>
      </w:r>
    </w:p>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ED as a Cardiovascular Warning Sign</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New-onset erectile dysfunction, particularly in men under 60, is an independent predictor of cardiovascular events within 5–10 years. Revive evaluates underlying causes as part of your care. ED medications treat symptoms but do not address underlying vascular disease. Your clinician may recommend additional cardiovascular assessment.</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4.  Medication Options — Benefits, Risks, and Contraindications</w:t>
            </w:r>
          </w:p>
        </w:tc>
      </w:tr>
    </w:tbl>
    <w:p>
      <w:pPr>
        <w:spacing w:before="0" w:after="160"/>
      </w:pPr>
    </w:p>
    <w:p>
      <w:pPr>
        <w:spacing w:before="20" w:after="100"/>
      </w:pPr>
      <w:r>
        <w:rPr>
          <w:rFonts w:ascii="Arial" w:cs="Arial" w:eastAsia="Arial" w:hAnsi="Arial"/>
          <w:color w:val="1A1A2E"/>
          <w:sz w:val="22"/>
          <w:szCs w:val="22"/>
        </w:rPr>
        <w:t xml:space="preserve">The following medications may be discussed or prescribed depending on your assessment. Not all options are appropriate for every patient.</w:t>
      </w:r>
    </w:p>
    <w:p>
      <w:pPr>
        <w:spacing w:before="0" w:after="160"/>
      </w:pPr>
    </w:p>
    <w:p>
      <w:pPr>
        <w:pStyle w:val="Heading2"/>
        <w:spacing w:before="160" w:after="80"/>
      </w:pPr>
      <w:r>
        <w:rPr>
          <w:rFonts w:ascii="Arial" w:cs="Arial" w:eastAsia="Arial" w:hAnsi="Arial"/>
          <w:b/>
          <w:bCs/>
          <w:color w:val="1A7A8C"/>
          <w:sz w:val="24"/>
          <w:szCs w:val="24"/>
        </w:rPr>
        <w:t xml:space="preserve">3.1  PDE5 Inhibitors — Oral Medications</w:t>
      </w:r>
    </w:p>
    <w:p>
      <w:pPr>
        <w:spacing w:before="0" w:after="100"/>
      </w:pPr>
    </w:p>
    <w:p>
      <w:pPr>
        <w:spacing w:before="20" w:after="100"/>
      </w:pPr>
      <w:r>
        <w:rPr>
          <w:rFonts w:ascii="Arial" w:cs="Arial" w:eastAsia="Arial" w:hAnsi="Arial"/>
          <w:color w:val="1A1A2E"/>
          <w:sz w:val="22"/>
          <w:szCs w:val="22"/>
        </w:rPr>
        <w:t xml:space="preserve">Phosphodiesterase type 5 (PDE5) inhibitors are first-line, oral medications for ED. They work by increasing blood flow to erectile tissue in response to sexual stimulation. They do NOT cause automatic erections — sexual arousal is still required.</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2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Sildenafil (Viagra® / generic)  —  Oral tablet — 25 mg, 50 mg, or 100 mg as needed, 30–60 minutes before sexual activity</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0"/>
            </w:pPr>
            <w:r>
              <w:rPr>
                <w:rFonts w:ascii="Arial" w:cs="Arial" w:eastAsia="Arial" w:hAnsi="Arial"/>
                <w:color w:val="1A1A2E"/>
                <w:sz w:val="20"/>
                <w:szCs w:val="20"/>
              </w:rPr>
              <w:t xml:space="preserve">Inhibits PDE5 enzyme, increasing cGMP, causing smooth muscle relaxation and increased blood flow into corpus cavernosum. Duration 4–6 hours. Take on empty stomach for faster onset.</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Benefits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Effective in ~70–80% of men with ED</w:t>
            </w:r>
          </w:p>
          <w:p>
            <w:pPr>
              <w:pStyle w:val="ListParagraph"/>
              <w:numPr>
                <w:ilvl w:val="0"/>
                <w:numId w:val="2"/>
              </w:numPr>
              <w:spacing w:before="0" w:after="40"/>
            </w:pPr>
            <w:r>
              <w:rPr>
                <w:rFonts w:ascii="Arial" w:cs="Arial" w:eastAsia="Arial" w:hAnsi="Arial"/>
                <w:color w:val="1A1A2E"/>
                <w:sz w:val="20"/>
                <w:szCs w:val="20"/>
              </w:rPr>
              <w:t xml:space="preserve">Rapid onset (30–60 min)</w:t>
            </w:r>
          </w:p>
          <w:p>
            <w:pPr>
              <w:pStyle w:val="ListParagraph"/>
              <w:numPr>
                <w:ilvl w:val="0"/>
                <w:numId w:val="2"/>
              </w:numPr>
              <w:spacing w:before="0" w:after="40"/>
            </w:pPr>
            <w:r>
              <w:rPr>
                <w:rFonts w:ascii="Arial" w:cs="Arial" w:eastAsia="Arial" w:hAnsi="Arial"/>
                <w:color w:val="1A1A2E"/>
                <w:sz w:val="20"/>
                <w:szCs w:val="20"/>
              </w:rPr>
              <w:t xml:space="preserve">Widely studied — extensive 25-year safety record</w:t>
            </w:r>
          </w:p>
          <w:p>
            <w:pPr>
              <w:pStyle w:val="ListParagraph"/>
              <w:numPr>
                <w:ilvl w:val="0"/>
                <w:numId w:val="2"/>
              </w:numPr>
              <w:spacing w:before="0" w:after="0"/>
            </w:pPr>
            <w:r>
              <w:rPr>
                <w:rFonts w:ascii="Arial" w:cs="Arial" w:eastAsia="Arial" w:hAnsi="Arial"/>
                <w:color w:val="1A1A2E"/>
                <w:sz w:val="20"/>
                <w:szCs w:val="20"/>
              </w:rPr>
              <w:t xml:space="preserve">Available as inexpensive generic</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Side Effects &amp; Risks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Headache (most common)</w:t>
            </w:r>
          </w:p>
          <w:p>
            <w:pPr>
              <w:pStyle w:val="ListParagraph"/>
              <w:numPr>
                <w:ilvl w:val="0"/>
                <w:numId w:val="2"/>
              </w:numPr>
              <w:spacing w:before="0" w:after="40"/>
            </w:pPr>
            <w:r>
              <w:rPr>
                <w:rFonts w:ascii="Arial" w:cs="Arial" w:eastAsia="Arial" w:hAnsi="Arial"/>
                <w:color w:val="1A1A2E"/>
                <w:sz w:val="20"/>
                <w:szCs w:val="20"/>
              </w:rPr>
              <w:t xml:space="preserve">Flushing, nasal congestion</w:t>
            </w:r>
          </w:p>
          <w:p>
            <w:pPr>
              <w:pStyle w:val="ListParagraph"/>
              <w:numPr>
                <w:ilvl w:val="0"/>
                <w:numId w:val="2"/>
              </w:numPr>
              <w:spacing w:before="0" w:after="40"/>
            </w:pPr>
            <w:r>
              <w:rPr>
                <w:rFonts w:ascii="Arial" w:cs="Arial" w:eastAsia="Arial" w:hAnsi="Arial"/>
                <w:color w:val="1A1A2E"/>
                <w:sz w:val="20"/>
                <w:szCs w:val="20"/>
              </w:rPr>
              <w:t xml:space="preserve">Visual disturbances — bluish tint, light sensitivity (transient, at high doses)</w:t>
            </w:r>
          </w:p>
          <w:p>
            <w:pPr>
              <w:pStyle w:val="ListParagraph"/>
              <w:numPr>
                <w:ilvl w:val="0"/>
                <w:numId w:val="2"/>
              </w:numPr>
              <w:spacing w:before="0" w:after="40"/>
            </w:pPr>
            <w:r>
              <w:rPr>
                <w:rFonts w:ascii="Arial" w:cs="Arial" w:eastAsia="Arial" w:hAnsi="Arial"/>
                <w:color w:val="1A1A2E"/>
                <w:sz w:val="20"/>
                <w:szCs w:val="20"/>
              </w:rPr>
              <w:t xml:space="preserve">Dyspepsia / indigestion</w:t>
            </w:r>
          </w:p>
          <w:p>
            <w:pPr>
              <w:pStyle w:val="ListParagraph"/>
              <w:numPr>
                <w:ilvl w:val="0"/>
                <w:numId w:val="2"/>
              </w:numPr>
              <w:spacing w:before="0" w:after="40"/>
            </w:pPr>
            <w:r>
              <w:rPr>
                <w:rFonts w:ascii="Arial" w:cs="Arial" w:eastAsia="Arial" w:hAnsi="Arial"/>
                <w:color w:val="1A1A2E"/>
                <w:sz w:val="20"/>
                <w:szCs w:val="20"/>
              </w:rPr>
              <w:t xml:space="preserve">Hypotension (low blood pressure), especially with alcohol or alpha-blockers</w:t>
            </w:r>
          </w:p>
          <w:p>
            <w:pPr>
              <w:pStyle w:val="ListParagraph"/>
              <w:numPr>
                <w:ilvl w:val="0"/>
                <w:numId w:val="2"/>
              </w:numPr>
              <w:spacing w:before="0" w:after="40"/>
            </w:pPr>
            <w:r>
              <w:rPr>
                <w:rFonts w:ascii="Arial" w:cs="Arial" w:eastAsia="Arial" w:hAnsi="Arial"/>
                <w:color w:val="1A1A2E"/>
                <w:sz w:val="20"/>
                <w:szCs w:val="20"/>
              </w:rPr>
              <w:t xml:space="preserve">Priapism (prolonged erection &gt;4 hours) — EMERGENCY: go to ED immediately</w:t>
            </w:r>
          </w:p>
          <w:p>
            <w:pPr>
              <w:pStyle w:val="ListParagraph"/>
              <w:numPr>
                <w:ilvl w:val="0"/>
                <w:numId w:val="2"/>
              </w:numPr>
              <w:spacing w:before="0" w:after="0"/>
            </w:pPr>
            <w:r>
              <w:rPr>
                <w:rFonts w:ascii="Arial" w:cs="Arial" w:eastAsia="Arial" w:hAnsi="Arial"/>
                <w:color w:val="1A1A2E"/>
                <w:sz w:val="20"/>
                <w:szCs w:val="20"/>
              </w:rPr>
              <w:t xml:space="preserve">Sudden hearing loss or vision loss (rare)</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Current use of nitrates (nitroglycerin, isosorbide) — ABSOLUTE contraindication — can cause life-threatening hypotension</w:t>
            </w:r>
          </w:p>
          <w:p>
            <w:pPr>
              <w:pStyle w:val="ListParagraph"/>
              <w:numPr>
                <w:ilvl w:val="0"/>
                <w:numId w:val="2"/>
              </w:numPr>
              <w:spacing w:before="0" w:after="40"/>
            </w:pPr>
            <w:r>
              <w:rPr>
                <w:rFonts w:ascii="Arial" w:cs="Arial" w:eastAsia="Arial" w:hAnsi="Arial"/>
                <w:color w:val="1A1A2E"/>
                <w:sz w:val="20"/>
                <w:szCs w:val="20"/>
              </w:rPr>
              <w:t xml:space="preserve">Severe cardiovascular disease or recent heart attack/stroke</w:t>
            </w:r>
          </w:p>
          <w:p>
            <w:pPr>
              <w:pStyle w:val="ListParagraph"/>
              <w:numPr>
                <w:ilvl w:val="0"/>
                <w:numId w:val="2"/>
              </w:numPr>
              <w:spacing w:before="0" w:after="40"/>
            </w:pPr>
            <w:r>
              <w:rPr>
                <w:rFonts w:ascii="Arial" w:cs="Arial" w:eastAsia="Arial" w:hAnsi="Arial"/>
                <w:color w:val="1A1A2E"/>
                <w:sz w:val="20"/>
                <w:szCs w:val="20"/>
              </w:rPr>
              <w:t xml:space="preserve">Severe hepatic impairment</w:t>
            </w:r>
          </w:p>
          <w:p>
            <w:pPr>
              <w:pStyle w:val="ListParagraph"/>
              <w:numPr>
                <w:ilvl w:val="0"/>
                <w:numId w:val="2"/>
              </w:numPr>
              <w:spacing w:before="0" w:after="40"/>
            </w:pPr>
            <w:r>
              <w:rPr>
                <w:rFonts w:ascii="Arial" w:cs="Arial" w:eastAsia="Arial" w:hAnsi="Arial"/>
                <w:color w:val="1A1A2E"/>
                <w:sz w:val="20"/>
                <w:szCs w:val="20"/>
              </w:rPr>
              <w:t xml:space="preserve">Use of nitric oxide donors, riociguat</w:t>
            </w:r>
          </w:p>
          <w:p>
            <w:pPr>
              <w:pStyle w:val="ListParagraph"/>
              <w:numPr>
                <w:ilvl w:val="0"/>
                <w:numId w:val="2"/>
              </w:numPr>
              <w:spacing w:before="0" w:after="0"/>
            </w:pPr>
            <w:r>
              <w:rPr>
                <w:rFonts w:ascii="Arial" w:cs="Arial" w:eastAsia="Arial" w:hAnsi="Arial"/>
                <w:color w:val="1A1A2E"/>
                <w:sz w:val="20"/>
                <w:szCs w:val="20"/>
              </w:rPr>
              <w:t xml:space="preserve">Alpha-blocker use (requires dose adjustment and timing precautions)</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Important Notes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Take on an empty stomach for fastest onset</w:t>
            </w:r>
          </w:p>
          <w:p>
            <w:pPr>
              <w:pStyle w:val="ListParagraph"/>
              <w:numPr>
                <w:ilvl w:val="0"/>
                <w:numId w:val="2"/>
              </w:numPr>
              <w:spacing w:before="0" w:after="40"/>
            </w:pPr>
            <w:r>
              <w:rPr>
                <w:rFonts w:ascii="Arial" w:cs="Arial" w:eastAsia="Arial" w:hAnsi="Arial"/>
                <w:color w:val="1A1A2E"/>
                <w:sz w:val="20"/>
                <w:szCs w:val="20"/>
              </w:rPr>
              <w:t xml:space="preserve">High-fat meals delay absorption significantly</w:t>
            </w:r>
          </w:p>
          <w:p>
            <w:pPr>
              <w:pStyle w:val="ListParagraph"/>
              <w:numPr>
                <w:ilvl w:val="0"/>
                <w:numId w:val="2"/>
              </w:numPr>
              <w:spacing w:before="0" w:after="0"/>
            </w:pPr>
            <w:r>
              <w:rPr>
                <w:rFonts w:ascii="Arial" w:cs="Arial" w:eastAsia="Arial" w:hAnsi="Arial"/>
                <w:color w:val="1A1A2E"/>
                <w:sz w:val="20"/>
                <w:szCs w:val="20"/>
              </w:rPr>
              <w:t xml:space="preserve">Do not take more than once in 24 hours</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2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Tadalafil (Cialis® / generic)  —  Oral tablet — On-demand: 10–20 mg as needed; Daily dosing: 2.5–5 mg once daily</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0"/>
            </w:pPr>
            <w:r>
              <w:rPr>
                <w:rFonts w:ascii="Arial" w:cs="Arial" w:eastAsia="Arial" w:hAnsi="Arial"/>
                <w:color w:val="1A1A2E"/>
                <w:sz w:val="20"/>
                <w:szCs w:val="20"/>
              </w:rPr>
              <w:t xml:space="preserve">Same PDE5 mechanism as sildenafil. Duration 24–36 hours ("weekend pill"). Daily low-dose allows spontaneous erections without planning. Also FDA-approved for BPH.</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Benefits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Long duration (24–36 hours) allows spontaneous activity</w:t>
            </w:r>
          </w:p>
          <w:p>
            <w:pPr>
              <w:pStyle w:val="ListParagraph"/>
              <w:numPr>
                <w:ilvl w:val="0"/>
                <w:numId w:val="2"/>
              </w:numPr>
              <w:spacing w:before="0" w:after="40"/>
            </w:pPr>
            <w:r>
              <w:rPr>
                <w:rFonts w:ascii="Arial" w:cs="Arial" w:eastAsia="Arial" w:hAnsi="Arial"/>
                <w:color w:val="1A1A2E"/>
                <w:sz w:val="20"/>
                <w:szCs w:val="20"/>
              </w:rPr>
              <w:t xml:space="preserve">Daily low-dose option eliminates need to plan</w:t>
            </w:r>
          </w:p>
          <w:p>
            <w:pPr>
              <w:pStyle w:val="ListParagraph"/>
              <w:numPr>
                <w:ilvl w:val="0"/>
                <w:numId w:val="2"/>
              </w:numPr>
              <w:spacing w:before="0" w:after="40"/>
            </w:pPr>
            <w:r>
              <w:rPr>
                <w:rFonts w:ascii="Arial" w:cs="Arial" w:eastAsia="Arial" w:hAnsi="Arial"/>
                <w:color w:val="1A1A2E"/>
                <w:sz w:val="20"/>
                <w:szCs w:val="20"/>
              </w:rPr>
              <w:t xml:space="preserve">Less affected by food intake than sildenafil</w:t>
            </w:r>
          </w:p>
          <w:p>
            <w:pPr>
              <w:pStyle w:val="ListParagraph"/>
              <w:numPr>
                <w:ilvl w:val="0"/>
                <w:numId w:val="2"/>
              </w:numPr>
              <w:spacing w:before="0" w:after="40"/>
            </w:pPr>
            <w:r>
              <w:rPr>
                <w:rFonts w:ascii="Arial" w:cs="Arial" w:eastAsia="Arial" w:hAnsi="Arial"/>
                <w:color w:val="1A1A2E"/>
                <w:sz w:val="20"/>
                <w:szCs w:val="20"/>
              </w:rPr>
              <w:t xml:space="preserve">Also improves urinary symptoms of BPH</w:t>
            </w:r>
          </w:p>
          <w:p>
            <w:pPr>
              <w:pStyle w:val="ListParagraph"/>
              <w:numPr>
                <w:ilvl w:val="0"/>
                <w:numId w:val="2"/>
              </w:numPr>
              <w:spacing w:before="0" w:after="0"/>
            </w:pPr>
            <w:r>
              <w:rPr>
                <w:rFonts w:ascii="Arial" w:cs="Arial" w:eastAsia="Arial" w:hAnsi="Arial"/>
                <w:color w:val="1A1A2E"/>
                <w:sz w:val="20"/>
                <w:szCs w:val="20"/>
              </w:rPr>
              <w:t xml:space="preserve">Well-tolerated in most men</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Side Effects &amp; Risks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Headache, back pain, muscle aches (myalgia — more common than with sildenafil)</w:t>
            </w:r>
          </w:p>
          <w:p>
            <w:pPr>
              <w:pStyle w:val="ListParagraph"/>
              <w:numPr>
                <w:ilvl w:val="0"/>
                <w:numId w:val="2"/>
              </w:numPr>
              <w:spacing w:before="0" w:after="40"/>
            </w:pPr>
            <w:r>
              <w:rPr>
                <w:rFonts w:ascii="Arial" w:cs="Arial" w:eastAsia="Arial" w:hAnsi="Arial"/>
                <w:color w:val="1A1A2E"/>
                <w:sz w:val="20"/>
                <w:szCs w:val="20"/>
              </w:rPr>
              <w:t xml:space="preserve">Flushing, nasal congestion</w:t>
            </w:r>
          </w:p>
          <w:p>
            <w:pPr>
              <w:pStyle w:val="ListParagraph"/>
              <w:numPr>
                <w:ilvl w:val="0"/>
                <w:numId w:val="2"/>
              </w:numPr>
              <w:spacing w:before="0" w:after="40"/>
            </w:pPr>
            <w:r>
              <w:rPr>
                <w:rFonts w:ascii="Arial" w:cs="Arial" w:eastAsia="Arial" w:hAnsi="Arial"/>
                <w:color w:val="1A1A2E"/>
                <w:sz w:val="20"/>
                <w:szCs w:val="20"/>
              </w:rPr>
              <w:t xml:space="preserve">Dyspepsia</w:t>
            </w:r>
          </w:p>
          <w:p>
            <w:pPr>
              <w:pStyle w:val="ListParagraph"/>
              <w:numPr>
                <w:ilvl w:val="0"/>
                <w:numId w:val="2"/>
              </w:numPr>
              <w:spacing w:before="0" w:after="40"/>
            </w:pPr>
            <w:r>
              <w:rPr>
                <w:rFonts w:ascii="Arial" w:cs="Arial" w:eastAsia="Arial" w:hAnsi="Arial"/>
                <w:color w:val="1A1A2E"/>
                <w:sz w:val="20"/>
                <w:szCs w:val="20"/>
              </w:rPr>
              <w:t xml:space="preserve">Hypotension with nitrates or alpha-blockers</w:t>
            </w:r>
          </w:p>
          <w:p>
            <w:pPr>
              <w:pStyle w:val="ListParagraph"/>
              <w:numPr>
                <w:ilvl w:val="0"/>
                <w:numId w:val="2"/>
              </w:numPr>
              <w:spacing w:before="0" w:after="0"/>
            </w:pPr>
            <w:r>
              <w:rPr>
                <w:rFonts w:ascii="Arial" w:cs="Arial" w:eastAsia="Arial" w:hAnsi="Arial"/>
                <w:color w:val="1A1A2E"/>
                <w:sz w:val="20"/>
                <w:szCs w:val="20"/>
              </w:rPr>
              <w:t xml:space="preserve">Priapism (prolonged erection &gt;4 hours) — EMERGENCY</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Current nitrate use — ABSOLUTE contraindication</w:t>
            </w:r>
          </w:p>
          <w:p>
            <w:pPr>
              <w:pStyle w:val="ListParagraph"/>
              <w:numPr>
                <w:ilvl w:val="0"/>
                <w:numId w:val="2"/>
              </w:numPr>
              <w:spacing w:before="0" w:after="40"/>
            </w:pPr>
            <w:r>
              <w:rPr>
                <w:rFonts w:ascii="Arial" w:cs="Arial" w:eastAsia="Arial" w:hAnsi="Arial"/>
                <w:color w:val="1A1A2E"/>
                <w:sz w:val="20"/>
                <w:szCs w:val="20"/>
              </w:rPr>
              <w:t xml:space="preserve">Recent cardiovascular event</w:t>
            </w:r>
          </w:p>
          <w:p>
            <w:pPr>
              <w:pStyle w:val="ListParagraph"/>
              <w:numPr>
                <w:ilvl w:val="0"/>
                <w:numId w:val="2"/>
              </w:numPr>
              <w:spacing w:before="0" w:after="40"/>
            </w:pPr>
            <w:r>
              <w:rPr>
                <w:rFonts w:ascii="Arial" w:cs="Arial" w:eastAsia="Arial" w:hAnsi="Arial"/>
                <w:color w:val="1A1A2E"/>
                <w:sz w:val="20"/>
                <w:szCs w:val="20"/>
              </w:rPr>
              <w:t xml:space="preserve">Severe hepatic or renal impairment</w:t>
            </w:r>
          </w:p>
          <w:p>
            <w:pPr>
              <w:pStyle w:val="ListParagraph"/>
              <w:numPr>
                <w:ilvl w:val="0"/>
                <w:numId w:val="2"/>
              </w:numPr>
              <w:spacing w:before="0" w:after="0"/>
            </w:pPr>
            <w:r>
              <w:rPr>
                <w:rFonts w:ascii="Arial" w:cs="Arial" w:eastAsia="Arial" w:hAnsi="Arial"/>
                <w:color w:val="1A1A2E"/>
                <w:sz w:val="20"/>
                <w:szCs w:val="20"/>
              </w:rPr>
              <w:t xml:space="preserve">Alpha-blocker co-administration (requires timing and dose precautions)</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2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Vardenafil (Levitra® / Staxyn®)  —  Oral tablet — 5–20 mg as needed, 60 minutes before activity</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0"/>
            </w:pPr>
            <w:r>
              <w:rPr>
                <w:rFonts w:ascii="Arial" w:cs="Arial" w:eastAsia="Arial" w:hAnsi="Arial"/>
                <w:color w:val="1A1A2E"/>
                <w:sz w:val="20"/>
                <w:szCs w:val="20"/>
              </w:rPr>
              <w:t xml:space="preserve">PDE5 inhibitor. Similar mechanism and duration to sildenafil (4–6 hours). May be slightly more potent per milligram than sildenafil.</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Benefits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Effective across broad ED severity spectrum</w:t>
            </w:r>
          </w:p>
          <w:p>
            <w:pPr>
              <w:pStyle w:val="ListParagraph"/>
              <w:numPr>
                <w:ilvl w:val="0"/>
                <w:numId w:val="2"/>
              </w:numPr>
              <w:spacing w:before="0" w:after="0"/>
            </w:pPr>
            <w:r>
              <w:rPr>
                <w:rFonts w:ascii="Arial" w:cs="Arial" w:eastAsia="Arial" w:hAnsi="Arial"/>
                <w:color w:val="1A1A2E"/>
                <w:sz w:val="20"/>
                <w:szCs w:val="20"/>
              </w:rPr>
              <w:t xml:space="preserve">May work better than sildenafil for some patients with diabetes-related ED</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Side Effects &amp; Risks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Headache, flushing, nasal congestion</w:t>
            </w:r>
          </w:p>
          <w:p>
            <w:pPr>
              <w:pStyle w:val="ListParagraph"/>
              <w:numPr>
                <w:ilvl w:val="0"/>
                <w:numId w:val="2"/>
              </w:numPr>
              <w:spacing w:before="0" w:after="40"/>
            </w:pPr>
            <w:r>
              <w:rPr>
                <w:rFonts w:ascii="Arial" w:cs="Arial" w:eastAsia="Arial" w:hAnsi="Arial"/>
                <w:color w:val="1A1A2E"/>
                <w:sz w:val="20"/>
                <w:szCs w:val="20"/>
              </w:rPr>
              <w:t xml:space="preserve">QT prolongation at high doses — caution with antiarrhythmic drugs</w:t>
            </w:r>
          </w:p>
          <w:p>
            <w:pPr>
              <w:pStyle w:val="ListParagraph"/>
              <w:numPr>
                <w:ilvl w:val="0"/>
                <w:numId w:val="2"/>
              </w:numPr>
              <w:spacing w:before="0" w:after="40"/>
            </w:pPr>
            <w:r>
              <w:rPr>
                <w:rFonts w:ascii="Arial" w:cs="Arial" w:eastAsia="Arial" w:hAnsi="Arial"/>
                <w:color w:val="1A1A2E"/>
                <w:sz w:val="20"/>
                <w:szCs w:val="20"/>
              </w:rPr>
              <w:t xml:space="preserve">Hypotension with nitrates or alpha-blockers</w:t>
            </w:r>
          </w:p>
          <w:p>
            <w:pPr>
              <w:pStyle w:val="ListParagraph"/>
              <w:numPr>
                <w:ilvl w:val="0"/>
                <w:numId w:val="2"/>
              </w:numPr>
              <w:spacing w:before="0" w:after="0"/>
            </w:pPr>
            <w:r>
              <w:rPr>
                <w:rFonts w:ascii="Arial" w:cs="Arial" w:eastAsia="Arial" w:hAnsi="Arial"/>
                <w:color w:val="1A1A2E"/>
                <w:sz w:val="20"/>
                <w:szCs w:val="20"/>
              </w:rPr>
              <w:t xml:space="preserve">Priapism — EMERGENCY</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Nitrate use — ABSOLUTE contraindication</w:t>
            </w:r>
          </w:p>
          <w:p>
            <w:pPr>
              <w:pStyle w:val="ListParagraph"/>
              <w:numPr>
                <w:ilvl w:val="0"/>
                <w:numId w:val="2"/>
              </w:numPr>
              <w:spacing w:before="0" w:after="40"/>
            </w:pPr>
            <w:r>
              <w:rPr>
                <w:rFonts w:ascii="Arial" w:cs="Arial" w:eastAsia="Arial" w:hAnsi="Arial"/>
                <w:color w:val="1A1A2E"/>
                <w:sz w:val="20"/>
                <w:szCs w:val="20"/>
              </w:rPr>
              <w:t xml:space="preserve">Known QT prolongation</w:t>
            </w:r>
          </w:p>
          <w:p>
            <w:pPr>
              <w:pStyle w:val="ListParagraph"/>
              <w:numPr>
                <w:ilvl w:val="0"/>
                <w:numId w:val="2"/>
              </w:numPr>
              <w:spacing w:before="0" w:after="40"/>
            </w:pPr>
            <w:r>
              <w:rPr>
                <w:rFonts w:ascii="Arial" w:cs="Arial" w:eastAsia="Arial" w:hAnsi="Arial"/>
                <w:color w:val="1A1A2E"/>
                <w:sz w:val="20"/>
                <w:szCs w:val="20"/>
              </w:rPr>
              <w:t xml:space="preserve">Class IA or III antiarrhythmic medications</w:t>
            </w:r>
          </w:p>
          <w:p>
            <w:pPr>
              <w:pStyle w:val="ListParagraph"/>
              <w:numPr>
                <w:ilvl w:val="0"/>
                <w:numId w:val="2"/>
              </w:numPr>
              <w:spacing w:before="0" w:after="0"/>
            </w:pPr>
            <w:r>
              <w:rPr>
                <w:rFonts w:ascii="Arial" w:cs="Arial" w:eastAsia="Arial" w:hAnsi="Arial"/>
                <w:color w:val="1A1A2E"/>
                <w:sz w:val="20"/>
                <w:szCs w:val="20"/>
              </w:rPr>
              <w:t xml:space="preserve">Significant cardiovascular disease</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2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Avanafil (Stendra®)  —  Oral tablet — 50–200 mg as needed, 15–30 minutes before activity</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0"/>
            </w:pPr>
            <w:r>
              <w:rPr>
                <w:rFonts w:ascii="Arial" w:cs="Arial" w:eastAsia="Arial" w:hAnsi="Arial"/>
                <w:color w:val="1A1A2E"/>
                <w:sz w:val="20"/>
                <w:szCs w:val="20"/>
              </w:rPr>
              <w:t xml:space="preserve">Newest PDE5 inhibitor. More selective for PDE5 over PDE6 (retinal enzyme), resulting in fewer visual side effects. Fastest onset of oral PDE5 inhibitors (as little as 15 minutes).</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Benefits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Fastest onset among oral PDE5 inhibitors</w:t>
            </w:r>
          </w:p>
          <w:p>
            <w:pPr>
              <w:pStyle w:val="ListParagraph"/>
              <w:numPr>
                <w:ilvl w:val="0"/>
                <w:numId w:val="2"/>
              </w:numPr>
              <w:spacing w:before="0" w:after="40"/>
            </w:pPr>
            <w:r>
              <w:rPr>
                <w:rFonts w:ascii="Arial" w:cs="Arial" w:eastAsia="Arial" w:hAnsi="Arial"/>
                <w:color w:val="1A1A2E"/>
                <w:sz w:val="20"/>
                <w:szCs w:val="20"/>
              </w:rPr>
              <w:t xml:space="preserve">Fewer visual side effects (greater PDE5/PDE6 selectivity)</w:t>
            </w:r>
          </w:p>
          <w:p>
            <w:pPr>
              <w:pStyle w:val="ListParagraph"/>
              <w:numPr>
                <w:ilvl w:val="0"/>
                <w:numId w:val="2"/>
              </w:numPr>
              <w:spacing w:before="0" w:after="0"/>
            </w:pPr>
            <w:r>
              <w:rPr>
                <w:rFonts w:ascii="Arial" w:cs="Arial" w:eastAsia="Arial" w:hAnsi="Arial"/>
                <w:color w:val="1A1A2E"/>
                <w:sz w:val="20"/>
                <w:szCs w:val="20"/>
              </w:rPr>
              <w:t xml:space="preserve">Can be taken with moderate food intake</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Side Effects &amp; Risks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Headache, flushing, nasal congestion</w:t>
            </w:r>
          </w:p>
          <w:p>
            <w:pPr>
              <w:pStyle w:val="ListParagraph"/>
              <w:numPr>
                <w:ilvl w:val="0"/>
                <w:numId w:val="2"/>
              </w:numPr>
              <w:spacing w:before="0" w:after="40"/>
            </w:pPr>
            <w:r>
              <w:rPr>
                <w:rFonts w:ascii="Arial" w:cs="Arial" w:eastAsia="Arial" w:hAnsi="Arial"/>
                <w:color w:val="1A1A2E"/>
                <w:sz w:val="20"/>
                <w:szCs w:val="20"/>
              </w:rPr>
              <w:t xml:space="preserve">Hypotension with nitrates or alpha-blockers</w:t>
            </w:r>
          </w:p>
          <w:p>
            <w:pPr>
              <w:pStyle w:val="ListParagraph"/>
              <w:numPr>
                <w:ilvl w:val="0"/>
                <w:numId w:val="2"/>
              </w:numPr>
              <w:spacing w:before="0" w:after="0"/>
            </w:pPr>
            <w:r>
              <w:rPr>
                <w:rFonts w:ascii="Arial" w:cs="Arial" w:eastAsia="Arial" w:hAnsi="Arial"/>
                <w:color w:val="1A1A2E"/>
                <w:sz w:val="20"/>
                <w:szCs w:val="20"/>
              </w:rPr>
              <w:t xml:space="preserve">Priapism (prolonged erection) — EMERGENCY</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Nitrate use — ABSOLUTE contraindication</w:t>
            </w:r>
          </w:p>
          <w:p>
            <w:pPr>
              <w:pStyle w:val="ListParagraph"/>
              <w:numPr>
                <w:ilvl w:val="0"/>
                <w:numId w:val="2"/>
              </w:numPr>
              <w:spacing w:before="0" w:after="40"/>
            </w:pPr>
            <w:r>
              <w:rPr>
                <w:rFonts w:ascii="Arial" w:cs="Arial" w:eastAsia="Arial" w:hAnsi="Arial"/>
                <w:color w:val="1A1A2E"/>
                <w:sz w:val="20"/>
                <w:szCs w:val="20"/>
              </w:rPr>
              <w:t xml:space="preserve">Significant cardiovascular disease</w:t>
            </w:r>
          </w:p>
          <w:p>
            <w:pPr>
              <w:pStyle w:val="ListParagraph"/>
              <w:numPr>
                <w:ilvl w:val="0"/>
                <w:numId w:val="2"/>
              </w:numPr>
              <w:spacing w:before="0" w:after="0"/>
            </w:pPr>
            <w:r>
              <w:rPr>
                <w:rFonts w:ascii="Arial" w:cs="Arial" w:eastAsia="Arial" w:hAnsi="Arial"/>
                <w:color w:val="1A1A2E"/>
                <w:sz w:val="20"/>
                <w:szCs w:val="20"/>
              </w:rPr>
              <w:t xml:space="preserve">Strong CYP3A4 inhibitors (certain antifungals, HIV protease inhibitors) — dose adjustment required</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Important Notes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0"/>
            </w:pPr>
            <w:r>
              <w:rPr>
                <w:rFonts w:ascii="Arial" w:cs="Arial" w:eastAsia="Arial" w:hAnsi="Arial"/>
                <w:color w:val="1A1A2E"/>
                <w:sz w:val="20"/>
                <w:szCs w:val="20"/>
              </w:rPr>
              <w:t xml:space="preserve">Currently available only as brand-name (no generic); higher cost than sildenafil or tadalafil</w:t>
            </w:r>
          </w:p>
        </w:tc>
      </w:tr>
    </w:tbl>
    <w:p>
      <w:pPr>
        <w:spacing w:before="0" w:after="200"/>
      </w:pPr>
    </w:p>
    <w:p>
      <w:pPr>
        <w:pStyle w:val="Heading2"/>
        <w:spacing w:before="160" w:after="80"/>
      </w:pPr>
      <w:r>
        <w:rPr>
          <w:rFonts w:ascii="Arial" w:cs="Arial" w:eastAsia="Arial" w:hAnsi="Arial"/>
          <w:b/>
          <w:bCs/>
          <w:color w:val="1A7A8C"/>
          <w:sz w:val="24"/>
          <w:szCs w:val="24"/>
        </w:rPr>
        <w:t xml:space="preserve">3.2  Trimix Intracavernosal Injection</w:t>
      </w:r>
    </w:p>
    <w:p>
      <w:pPr>
        <w:spacing w:before="0" w:after="100"/>
      </w:pPr>
    </w:p>
    <w:p>
      <w:pPr>
        <w:spacing w:before="20" w:after="100"/>
      </w:pPr>
      <w:r>
        <w:rPr>
          <w:rFonts w:ascii="Arial" w:cs="Arial" w:eastAsia="Arial" w:hAnsi="Arial"/>
          <w:color w:val="1A1A2E"/>
          <w:sz w:val="22"/>
          <w:szCs w:val="22"/>
        </w:rPr>
        <w:t xml:space="preserve">Trimix is a compounded injectable medication administered directly into the corpus cavernosum of the penis. It is typically prescribed when oral PDE5 inhibitors are insufficient or contraindicated. Proper injection technique is taught in-clinic before home administration.</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2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Trimix (Alprostadil + Papaverine + Phentolamine)  —  Intracavernosal injection — dose individualised by clinician; injected 5–10 minutes before activity</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0"/>
            </w:pPr>
            <w:r>
              <w:rPr>
                <w:rFonts w:ascii="Arial" w:cs="Arial" w:eastAsia="Arial" w:hAnsi="Arial"/>
                <w:color w:val="1A1A2E"/>
                <w:sz w:val="20"/>
                <w:szCs w:val="20"/>
              </w:rPr>
              <w:t xml:space="preserve">Three-component compounded mixture: alprostadil increases cAMP; papaverine relaxes smooth muscle; phentolamine blocks alpha-adrenergic receptors. Together they cause reliable penile smooth muscle relaxation and blood inflow independent of sexual stimulation.</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Benefits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Effective in 80–95% of men including those who fail oral PDE5 inhibitors</w:t>
            </w:r>
          </w:p>
          <w:p>
            <w:pPr>
              <w:pStyle w:val="ListParagraph"/>
              <w:numPr>
                <w:ilvl w:val="0"/>
                <w:numId w:val="2"/>
              </w:numPr>
              <w:spacing w:before="0" w:after="40"/>
            </w:pPr>
            <w:r>
              <w:rPr>
                <w:rFonts w:ascii="Arial" w:cs="Arial" w:eastAsia="Arial" w:hAnsi="Arial"/>
                <w:color w:val="1A1A2E"/>
                <w:sz w:val="20"/>
                <w:szCs w:val="20"/>
              </w:rPr>
              <w:t xml:space="preserve">Works regardless of degree of vascular, neurological, or hormonal impairment</w:t>
            </w:r>
          </w:p>
          <w:p>
            <w:pPr>
              <w:pStyle w:val="ListParagraph"/>
              <w:numPr>
                <w:ilvl w:val="0"/>
                <w:numId w:val="2"/>
              </w:numPr>
              <w:spacing w:before="0" w:after="40"/>
            </w:pPr>
            <w:r>
              <w:rPr>
                <w:rFonts w:ascii="Arial" w:cs="Arial" w:eastAsia="Arial" w:hAnsi="Arial"/>
                <w:color w:val="1A1A2E"/>
                <w:sz w:val="20"/>
                <w:szCs w:val="20"/>
              </w:rPr>
              <w:t xml:space="preserve">Does not require sexual arousal to produce an erection</w:t>
            </w:r>
          </w:p>
          <w:p>
            <w:pPr>
              <w:pStyle w:val="ListParagraph"/>
              <w:numPr>
                <w:ilvl w:val="0"/>
                <w:numId w:val="2"/>
              </w:numPr>
              <w:spacing w:before="0" w:after="0"/>
            </w:pPr>
            <w:r>
              <w:rPr>
                <w:rFonts w:ascii="Arial" w:cs="Arial" w:eastAsia="Arial" w:hAnsi="Arial"/>
                <w:color w:val="1A1A2E"/>
                <w:sz w:val="20"/>
                <w:szCs w:val="20"/>
              </w:rPr>
              <w:t xml:space="preserve">Onset within 5–10 minutes</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Side Effects &amp; Risks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Pain at injection site (varies; most tolerable)</w:t>
            </w:r>
          </w:p>
          <w:p>
            <w:pPr>
              <w:pStyle w:val="ListParagraph"/>
              <w:numPr>
                <w:ilvl w:val="0"/>
                <w:numId w:val="2"/>
              </w:numPr>
              <w:spacing w:before="0" w:after="40"/>
            </w:pPr>
            <w:r>
              <w:rPr>
                <w:rFonts w:ascii="Arial" w:cs="Arial" w:eastAsia="Arial" w:hAnsi="Arial"/>
                <w:color w:val="1A1A2E"/>
                <w:sz w:val="20"/>
                <w:szCs w:val="20"/>
              </w:rPr>
              <w:t xml:space="preserve">Priapism — prolonged erection &gt;4 hours: EMERGENCY; proceed to ED immediately</w:t>
            </w:r>
          </w:p>
          <w:p>
            <w:pPr>
              <w:pStyle w:val="ListParagraph"/>
              <w:numPr>
                <w:ilvl w:val="0"/>
                <w:numId w:val="2"/>
              </w:numPr>
              <w:spacing w:before="0" w:after="40"/>
            </w:pPr>
            <w:r>
              <w:rPr>
                <w:rFonts w:ascii="Arial" w:cs="Arial" w:eastAsia="Arial" w:hAnsi="Arial"/>
                <w:color w:val="1A1A2E"/>
                <w:sz w:val="20"/>
                <w:szCs w:val="20"/>
              </w:rPr>
              <w:t xml:space="preserve">Penile fibrosis / scarring with chronic use — injection site rotation is mandatory</w:t>
            </w:r>
          </w:p>
          <w:p>
            <w:pPr>
              <w:pStyle w:val="ListParagraph"/>
              <w:numPr>
                <w:ilvl w:val="0"/>
                <w:numId w:val="2"/>
              </w:numPr>
              <w:spacing w:before="0" w:after="40"/>
            </w:pPr>
            <w:r>
              <w:rPr>
                <w:rFonts w:ascii="Arial" w:cs="Arial" w:eastAsia="Arial" w:hAnsi="Arial"/>
                <w:color w:val="1A1A2E"/>
                <w:sz w:val="20"/>
                <w:szCs w:val="20"/>
              </w:rPr>
              <w:t xml:space="preserve">Bruising or haematoma at injection site</w:t>
            </w:r>
          </w:p>
          <w:p>
            <w:pPr>
              <w:pStyle w:val="ListParagraph"/>
              <w:numPr>
                <w:ilvl w:val="0"/>
                <w:numId w:val="2"/>
              </w:numPr>
              <w:spacing w:before="0" w:after="40"/>
            </w:pPr>
            <w:r>
              <w:rPr>
                <w:rFonts w:ascii="Arial" w:cs="Arial" w:eastAsia="Arial" w:hAnsi="Arial"/>
                <w:color w:val="1A1A2E"/>
                <w:sz w:val="20"/>
                <w:szCs w:val="20"/>
              </w:rPr>
              <w:t xml:space="preserve">Urethral irritation</w:t>
            </w:r>
          </w:p>
          <w:p>
            <w:pPr>
              <w:pStyle w:val="ListParagraph"/>
              <w:numPr>
                <w:ilvl w:val="0"/>
                <w:numId w:val="2"/>
              </w:numPr>
              <w:spacing w:before="0" w:after="0"/>
            </w:pPr>
            <w:r>
              <w:rPr>
                <w:rFonts w:ascii="Arial" w:cs="Arial" w:eastAsia="Arial" w:hAnsi="Arial"/>
                <w:color w:val="1A1A2E"/>
                <w:sz w:val="20"/>
                <w:szCs w:val="20"/>
              </w:rPr>
              <w:t xml:space="preserve">Hypotension (less common than with oral agents)</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Bleeding disorders or anticoagulant therapy (relative contraindication)</w:t>
            </w:r>
          </w:p>
          <w:p>
            <w:pPr>
              <w:pStyle w:val="ListParagraph"/>
              <w:numPr>
                <w:ilvl w:val="0"/>
                <w:numId w:val="2"/>
              </w:numPr>
              <w:spacing w:before="0" w:after="40"/>
            </w:pPr>
            <w:r>
              <w:rPr>
                <w:rFonts w:ascii="Arial" w:cs="Arial" w:eastAsia="Arial" w:hAnsi="Arial"/>
                <w:color w:val="1A1A2E"/>
                <w:sz w:val="20"/>
                <w:szCs w:val="20"/>
              </w:rPr>
              <w:t xml:space="preserve">Sickle cell disease</w:t>
            </w:r>
          </w:p>
          <w:p>
            <w:pPr>
              <w:pStyle w:val="ListParagraph"/>
              <w:numPr>
                <w:ilvl w:val="0"/>
                <w:numId w:val="2"/>
              </w:numPr>
              <w:spacing w:before="0" w:after="40"/>
            </w:pPr>
            <w:r>
              <w:rPr>
                <w:rFonts w:ascii="Arial" w:cs="Arial" w:eastAsia="Arial" w:hAnsi="Arial"/>
                <w:color w:val="1A1A2E"/>
                <w:sz w:val="20"/>
                <w:szCs w:val="20"/>
              </w:rPr>
              <w:t xml:space="preserve">Penile anatomical deformities (Peyronie's disease may require dose adjustment)</w:t>
            </w:r>
          </w:p>
          <w:p>
            <w:pPr>
              <w:pStyle w:val="ListParagraph"/>
              <w:numPr>
                <w:ilvl w:val="0"/>
                <w:numId w:val="2"/>
              </w:numPr>
              <w:spacing w:before="0" w:after="0"/>
            </w:pPr>
            <w:r>
              <w:rPr>
                <w:rFonts w:ascii="Arial" w:cs="Arial" w:eastAsia="Arial" w:hAnsi="Arial"/>
                <w:color w:val="1A1A2E"/>
                <w:sz w:val="20"/>
                <w:szCs w:val="20"/>
              </w:rPr>
              <w:t xml:space="preserve">Prior priapism history</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Important Notes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Trimix is a compounded medication — not FDA-approved as a final product; each batch is custom-made by a licensed compounding pharmacy</w:t>
            </w:r>
          </w:p>
          <w:p>
            <w:pPr>
              <w:pStyle w:val="ListParagraph"/>
              <w:numPr>
                <w:ilvl w:val="0"/>
                <w:numId w:val="2"/>
              </w:numPr>
              <w:spacing w:before="0" w:after="40"/>
            </w:pPr>
            <w:r>
              <w:rPr>
                <w:rFonts w:ascii="Arial" w:cs="Arial" w:eastAsia="Arial" w:hAnsi="Arial"/>
                <w:color w:val="1A1A2E"/>
                <w:sz w:val="20"/>
                <w:szCs w:val="20"/>
              </w:rPr>
              <w:t xml:space="preserve">Refrigeration required (typically 2–8°C)</w:t>
            </w:r>
          </w:p>
          <w:p>
            <w:pPr>
              <w:pStyle w:val="ListParagraph"/>
              <w:numPr>
                <w:ilvl w:val="0"/>
                <w:numId w:val="2"/>
              </w:numPr>
              <w:spacing w:before="0" w:after="40"/>
            </w:pPr>
            <w:r>
              <w:rPr>
                <w:rFonts w:ascii="Arial" w:cs="Arial" w:eastAsia="Arial" w:hAnsi="Arial"/>
                <w:color w:val="1A1A2E"/>
                <w:sz w:val="20"/>
                <w:szCs w:val="20"/>
              </w:rPr>
              <w:t xml:space="preserve">Injection technique training provided in-clinic before home use</w:t>
            </w:r>
          </w:p>
          <w:p>
            <w:pPr>
              <w:pStyle w:val="ListParagraph"/>
              <w:numPr>
                <w:ilvl w:val="0"/>
                <w:numId w:val="2"/>
              </w:numPr>
              <w:spacing w:before="0" w:after="0"/>
            </w:pPr>
            <w:r>
              <w:rPr>
                <w:rFonts w:ascii="Arial" w:cs="Arial" w:eastAsia="Arial" w:hAnsi="Arial"/>
                <w:color w:val="1A1A2E"/>
                <w:sz w:val="20"/>
                <w:szCs w:val="20"/>
              </w:rPr>
              <w:t xml:space="preserve">Priapism protocol: if erection persists beyond 4 hours, go to Emergency Room immediately — do not wait</w:t>
            </w:r>
          </w:p>
        </w:tc>
      </w:tr>
    </w:tbl>
    <w:p>
      <w:pPr>
        <w:spacing w:before="0" w:after="160"/>
      </w:pPr>
    </w:p>
    <w:tbl>
      <w:tblPr>
        <w:tblW w:type="dxa" w:w="9360"/>
        <w:tblBorders>
          <w:top w:val="none" w:color="FFFFFF" w:sz="0"/>
          <w:left w:val="single" w:color="C0392B"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DEC" w:val="clear"/>
            <w:tcMar>
              <w:top w:type="dxa" w:w="60"/>
              <w:left w:type="dxa" w:w="140"/>
              <w:bottom w:type="dxa" w:w="0"/>
              <w:right w:type="dxa" w:w="140"/>
            </w:tcMar>
          </w:tcPr>
          <w:p>
            <w:pPr>
              <w:spacing w:before="0" w:after="40"/>
            </w:pPr>
            <w:r>
              <w:rPr>
                <w:rFonts w:ascii="Arial" w:cs="Arial" w:eastAsia="Arial" w:hAnsi="Arial"/>
                <w:b/>
                <w:bCs/>
                <w:color w:val="C0392B"/>
                <w:sz w:val="20"/>
                <w:szCs w:val="20"/>
              </w:rPr>
              <w:t xml:space="preserve">🚨  Priapism — Emergency Protocol (All Injectable and Oral ED Medications)</w:t>
            </w:r>
          </w:p>
        </w:tc>
      </w:tr>
      <w:tr>
        <w:tc>
          <w:tcPr>
            <w:tcW w:type="dxa" w:w="9360"/>
            <w:tcBorders>
              <w:top w:val="none" w:color="FFFFFF" w:sz="0"/>
              <w:left w:val="none" w:color="FFFFFF" w:sz="0"/>
              <w:bottom w:val="none" w:color="FFFFFF" w:sz="0"/>
              <w:right w:val="none" w:color="FFFFFF" w:sz="0"/>
            </w:tcBorders>
            <w:shd w:fill="FDEDEC"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A sustained erection lasting more than 4 hours (priapism) is a medical emergency. It can cause permanent erectile dysfunction if untreated. If this occurs: DO NOT WAIT. Go to the nearest Emergency Room immediately or call 911. Do not attempt to treat at home.</w:t>
            </w:r>
          </w:p>
        </w:tc>
      </w:tr>
    </w:tbl>
    <w:p>
      <w:pPr>
        <w:spacing w:before="0" w:after="200"/>
      </w:pPr>
    </w:p>
    <w:p>
      <w:pPr>
        <w:pStyle w:val="Heading2"/>
        <w:spacing w:before="160" w:after="80"/>
      </w:pPr>
      <w:r>
        <w:rPr>
          <w:rFonts w:ascii="Arial" w:cs="Arial" w:eastAsia="Arial" w:hAnsi="Arial"/>
          <w:b/>
          <w:bCs/>
          <w:color w:val="1A7A8C"/>
          <w:sz w:val="24"/>
          <w:szCs w:val="24"/>
        </w:rPr>
        <w:t xml:space="preserve">3.3  PT-141 / Bremelanotide (Melanocortin Receptor Agonist)</w:t>
      </w:r>
    </w:p>
    <w:p>
      <w:pPr>
        <w:spacing w:before="0" w:after="100"/>
      </w:pPr>
    </w:p>
    <w:p>
      <w:pPr>
        <w:spacing w:before="20" w:after="100"/>
      </w:pPr>
      <w:r>
        <w:rPr>
          <w:rFonts w:ascii="Arial" w:cs="Arial" w:eastAsia="Arial" w:hAnsi="Arial"/>
          <w:color w:val="1A1A2E"/>
          <w:sz w:val="22"/>
          <w:szCs w:val="22"/>
        </w:rPr>
        <w:t xml:space="preserve">PT-141 (bremelanotide) is approved by the FDA under the brand name Vyleesi® for hypoactive sexual desire disorder in premenopausal women, and is used off-label in men for ED with a prominent psychogenic or central (desire) component. Unlike PDE5 inhibitors, PT-141 acts on the brain rather than on blood vessels — it is particularly useful when ED is driven by low desire, psychological inhibition, or when PDE5 inhibitors are insufficient.</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7260"/>
      </w:tblGrid>
      <w:tr>
        <w:tc>
          <w:tcPr>
            <w:tcW w:type="dxa" w:w="9360"/>
            <w:gridSpan w:val="2"/>
            <w:tcBorders>
              <w:top w:val="single" w:color="1A7A8C" w:sz="1"/>
              <w:left w:val="single" w:color="1A7A8C" w:sz="1"/>
              <w:bottom w:val="single" w:color="1A7A8C" w:sz="1"/>
              <w:right w:val="single" w:color="1A7A8C" w:sz="1"/>
            </w:tcBorders>
            <w:shd w:fill="1A7A8C" w:val="clear"/>
            <w:tcMar>
              <w:top w:type="dxa" w:w="70"/>
              <w:left w:type="dxa" w:w="140"/>
              <w:bottom w:type="dxa" w:w="70"/>
              <w:right w:type="dxa" w:w="80"/>
            </w:tcMar>
          </w:tcPr>
          <w:p>
            <w:pPr>
              <w:spacing w:before="0" w:after="0"/>
            </w:pPr>
            <w:r>
              <w:rPr>
                <w:rFonts w:ascii="Arial" w:cs="Arial" w:eastAsia="Arial" w:hAnsi="Arial"/>
                <w:b/>
                <w:bCs/>
                <w:color w:val="FFFFFF"/>
                <w:sz w:val="22"/>
                <w:szCs w:val="22"/>
              </w:rPr>
              <w:t xml:space="preserve">PT-141 / Bremelanotide  —  Subcutaneous (SQ) autoinjector — 1.75 mg injected into abdomen or thigh 45 minutes before activity. Maximum once in 24 hours; maximum 1 dose per 8 hours recommended.</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Mechanism</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0"/>
            </w:pPr>
            <w:r>
              <w:rPr>
                <w:rFonts w:ascii="Arial" w:cs="Arial" w:eastAsia="Arial" w:hAnsi="Arial"/>
                <w:color w:val="1A1A2E"/>
                <w:sz w:val="20"/>
                <w:szCs w:val="20"/>
              </w:rPr>
              <w:t xml:space="preserve">Melanocortin receptor 4 (MC4R) agonist. Acts centrally on hypothalamic pathways regulating sexual arousal and desire — does not act primarily on penile vasculature. Increases dopaminergic activity in sexual motivation circuits.</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Benefits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Addresses the central (desire/arousal) component of ED rather than purely vascular</w:t>
            </w:r>
          </w:p>
          <w:p>
            <w:pPr>
              <w:pStyle w:val="ListParagraph"/>
              <w:numPr>
                <w:ilvl w:val="0"/>
                <w:numId w:val="2"/>
              </w:numPr>
              <w:spacing w:before="0" w:after="40"/>
            </w:pPr>
            <w:r>
              <w:rPr>
                <w:rFonts w:ascii="Arial" w:cs="Arial" w:eastAsia="Arial" w:hAnsi="Arial"/>
                <w:color w:val="1A1A2E"/>
                <w:sz w:val="20"/>
                <w:szCs w:val="20"/>
              </w:rPr>
              <w:t xml:space="preserve">May work when PDE5 inhibitors are ineffective or insufficient</w:t>
            </w:r>
          </w:p>
          <w:p>
            <w:pPr>
              <w:pStyle w:val="ListParagraph"/>
              <w:numPr>
                <w:ilvl w:val="0"/>
                <w:numId w:val="2"/>
              </w:numPr>
              <w:spacing w:before="0" w:after="40"/>
            </w:pPr>
            <w:r>
              <w:rPr>
                <w:rFonts w:ascii="Arial" w:cs="Arial" w:eastAsia="Arial" w:hAnsi="Arial"/>
                <w:color w:val="1A1A2E"/>
                <w:sz w:val="20"/>
                <w:szCs w:val="20"/>
              </w:rPr>
              <w:t xml:space="preserve">Not dependent on nitric oxide pathway — can be considered when nitrates are used (discuss with clinician — not absolutely contraindicated like PDE5s)</w:t>
            </w:r>
          </w:p>
          <w:p>
            <w:pPr>
              <w:pStyle w:val="ListParagraph"/>
              <w:numPr>
                <w:ilvl w:val="0"/>
                <w:numId w:val="2"/>
              </w:numPr>
              <w:spacing w:before="0" w:after="0"/>
            </w:pPr>
            <w:r>
              <w:rPr>
                <w:rFonts w:ascii="Arial" w:cs="Arial" w:eastAsia="Arial" w:hAnsi="Arial"/>
                <w:color w:val="1A1A2E"/>
                <w:sz w:val="20"/>
                <w:szCs w:val="20"/>
              </w:rPr>
              <w:t xml:space="preserve">Approved by FDA (for women); off-label use in men has clinical evidence</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Side Effects &amp; Risks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Nausea (most common — occurs in ~40% of users; typically resolves within 1–2 hours)</w:t>
            </w:r>
          </w:p>
          <w:p>
            <w:pPr>
              <w:pStyle w:val="ListParagraph"/>
              <w:numPr>
                <w:ilvl w:val="0"/>
                <w:numId w:val="2"/>
              </w:numPr>
              <w:spacing w:before="0" w:after="40"/>
            </w:pPr>
            <w:r>
              <w:rPr>
                <w:rFonts w:ascii="Arial" w:cs="Arial" w:eastAsia="Arial" w:hAnsi="Arial"/>
                <w:color w:val="1A1A2E"/>
                <w:sz w:val="20"/>
                <w:szCs w:val="20"/>
              </w:rPr>
              <w:t xml:space="preserve">Flushing</w:t>
            </w:r>
          </w:p>
          <w:p>
            <w:pPr>
              <w:pStyle w:val="ListParagraph"/>
              <w:numPr>
                <w:ilvl w:val="0"/>
                <w:numId w:val="2"/>
              </w:numPr>
              <w:spacing w:before="0" w:after="40"/>
            </w:pPr>
            <w:r>
              <w:rPr>
                <w:rFonts w:ascii="Arial" w:cs="Arial" w:eastAsia="Arial" w:hAnsi="Arial"/>
                <w:color w:val="1A1A2E"/>
                <w:sz w:val="20"/>
                <w:szCs w:val="20"/>
              </w:rPr>
              <w:t xml:space="preserve">Transient increase in blood pressure (typically 6–10 mmHg systolic) for 12 hours after injection — important in hypertensive patients</w:t>
            </w:r>
          </w:p>
          <w:p>
            <w:pPr>
              <w:pStyle w:val="ListParagraph"/>
              <w:numPr>
                <w:ilvl w:val="0"/>
                <w:numId w:val="2"/>
              </w:numPr>
              <w:spacing w:before="0" w:after="40"/>
            </w:pPr>
            <w:r>
              <w:rPr>
                <w:rFonts w:ascii="Arial" w:cs="Arial" w:eastAsia="Arial" w:hAnsi="Arial"/>
                <w:color w:val="1A1A2E"/>
                <w:sz w:val="20"/>
                <w:szCs w:val="20"/>
              </w:rPr>
              <w:t xml:space="preserve">Headache</w:t>
            </w:r>
          </w:p>
          <w:p>
            <w:pPr>
              <w:pStyle w:val="ListParagraph"/>
              <w:numPr>
                <w:ilvl w:val="0"/>
                <w:numId w:val="2"/>
              </w:numPr>
              <w:spacing w:before="0" w:after="40"/>
            </w:pPr>
            <w:r>
              <w:rPr>
                <w:rFonts w:ascii="Arial" w:cs="Arial" w:eastAsia="Arial" w:hAnsi="Arial"/>
                <w:color w:val="1A1A2E"/>
                <w:sz w:val="20"/>
                <w:szCs w:val="20"/>
              </w:rPr>
              <w:t xml:space="preserve">Fatigue</w:t>
            </w:r>
          </w:p>
          <w:p>
            <w:pPr>
              <w:pStyle w:val="ListParagraph"/>
              <w:numPr>
                <w:ilvl w:val="0"/>
                <w:numId w:val="2"/>
              </w:numPr>
              <w:spacing w:before="0" w:after="40"/>
            </w:pPr>
            <w:r>
              <w:rPr>
                <w:rFonts w:ascii="Arial" w:cs="Arial" w:eastAsia="Arial" w:hAnsi="Arial"/>
                <w:color w:val="1A1A2E"/>
                <w:sz w:val="20"/>
                <w:szCs w:val="20"/>
              </w:rPr>
              <w:t xml:space="preserve">Injection site bruising or redness</w:t>
            </w:r>
          </w:p>
          <w:p>
            <w:pPr>
              <w:pStyle w:val="ListParagraph"/>
              <w:numPr>
                <w:ilvl w:val="0"/>
                <w:numId w:val="2"/>
              </w:numPr>
              <w:spacing w:before="0" w:after="0"/>
            </w:pPr>
            <w:r>
              <w:rPr>
                <w:rFonts w:ascii="Arial" w:cs="Arial" w:eastAsia="Arial" w:hAnsi="Arial"/>
                <w:color w:val="1A1A2E"/>
                <w:sz w:val="20"/>
                <w:szCs w:val="20"/>
              </w:rPr>
              <w:t xml:space="preserve">Hyperpigmentation with frequent use (rare)</w:t>
            </w:r>
          </w:p>
        </w:tc>
      </w:tr>
      <w:tr>
        <w:tc>
          <w:tcPr>
            <w:tcW w:type="dxa" w:w="210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Contraindications</w:t>
            </w:r>
          </w:p>
        </w:tc>
        <w:tc>
          <w:tcPr>
            <w:tcW w:type="dxa" w:w="7260"/>
            <w:tcBorders>
              <w:top w:val="single" w:color="BDC3C7" w:sz="1"/>
              <w:left w:val="single" w:color="BDC3C7" w:sz="1"/>
              <w:bottom w:val="single" w:color="BDC3C7" w:sz="1"/>
              <w:right w:val="single" w:color="BDC3C7" w:sz="1"/>
            </w:tcBorders>
            <w:shd w:fill="F4F6F8"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Uncontrolled hypertension (systolic &gt;160 mmHg or diastolic &gt;100 mmHg)</w:t>
            </w:r>
          </w:p>
          <w:p>
            <w:pPr>
              <w:pStyle w:val="ListParagraph"/>
              <w:numPr>
                <w:ilvl w:val="0"/>
                <w:numId w:val="2"/>
              </w:numPr>
              <w:spacing w:before="0" w:after="40"/>
            </w:pPr>
            <w:r>
              <w:rPr>
                <w:rFonts w:ascii="Arial" w:cs="Arial" w:eastAsia="Arial" w:hAnsi="Arial"/>
                <w:color w:val="1A1A2E"/>
                <w:sz w:val="20"/>
                <w:szCs w:val="20"/>
              </w:rPr>
              <w:t xml:space="preserve">High cardiovascular risk — the transient blood pressure increase must be considered</w:t>
            </w:r>
          </w:p>
          <w:p>
            <w:pPr>
              <w:pStyle w:val="ListParagraph"/>
              <w:numPr>
                <w:ilvl w:val="0"/>
                <w:numId w:val="2"/>
              </w:numPr>
              <w:spacing w:before="0" w:after="40"/>
            </w:pPr>
            <w:r>
              <w:rPr>
                <w:rFonts w:ascii="Arial" w:cs="Arial" w:eastAsia="Arial" w:hAnsi="Arial"/>
                <w:color w:val="1A1A2E"/>
                <w:sz w:val="20"/>
                <w:szCs w:val="20"/>
              </w:rPr>
              <w:t xml:space="preserve">Cardiac or cerebrovascular disease — relative; discuss with clinician</w:t>
            </w:r>
          </w:p>
          <w:p>
            <w:pPr>
              <w:pStyle w:val="ListParagraph"/>
              <w:numPr>
                <w:ilvl w:val="0"/>
                <w:numId w:val="2"/>
              </w:numPr>
              <w:spacing w:before="0" w:after="0"/>
            </w:pPr>
            <w:r>
              <w:rPr>
                <w:rFonts w:ascii="Arial" w:cs="Arial" w:eastAsia="Arial" w:hAnsi="Arial"/>
                <w:color w:val="1A1A2E"/>
                <w:sz w:val="20"/>
                <w:szCs w:val="20"/>
              </w:rPr>
              <w:t xml:space="preserve">Concurrent use of medications that increase blood pressure</w:t>
            </w:r>
          </w:p>
        </w:tc>
      </w:tr>
      <w:tr>
        <w:tc>
          <w:tcPr>
            <w:tcW w:type="dxa" w:w="210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spacing w:before="0" w:after="0"/>
            </w:pPr>
            <w:r>
              <w:rPr>
                <w:rFonts w:ascii="Arial" w:cs="Arial" w:eastAsia="Arial" w:hAnsi="Arial"/>
                <w:b/>
                <w:bCs/>
                <w:color w:val="1B3A6B"/>
                <w:sz w:val="20"/>
                <w:szCs w:val="20"/>
              </w:rPr>
              <w:t xml:space="preserve">Important Notes</w:t>
            </w:r>
          </w:p>
        </w:tc>
        <w:tc>
          <w:tcPr>
            <w:tcW w:type="dxa" w:w="7260"/>
            <w:tcBorders>
              <w:top w:val="single" w:color="BDC3C7" w:sz="1"/>
              <w:left w:val="single" w:color="BDC3C7" w:sz="1"/>
              <w:bottom w:val="single" w:color="BDC3C7" w:sz="1"/>
              <w:right w:val="single" w:color="BDC3C7" w:sz="1"/>
            </w:tcBorders>
            <w:shd w:fill="FFFFFF" w:val="clear"/>
            <w:tcMar>
              <w:top w:type="dxa" w:w="60"/>
              <w:left w:type="dxa" w:w="120"/>
              <w:bottom w:type="dxa" w:w="60"/>
              <w:right w:type="dxa" w:w="80"/>
            </w:tcMar>
          </w:tcPr>
          <w:p>
            <w:pPr>
              <w:pStyle w:val="ListParagraph"/>
              <w:numPr>
                <w:ilvl w:val="0"/>
                <w:numId w:val="2"/>
              </w:numPr>
              <w:spacing w:before="0" w:after="40"/>
            </w:pPr>
            <w:r>
              <w:rPr>
                <w:rFonts w:ascii="Arial" w:cs="Arial" w:eastAsia="Arial" w:hAnsi="Arial"/>
                <w:color w:val="1A1A2E"/>
                <w:sz w:val="20"/>
                <w:szCs w:val="20"/>
              </w:rPr>
              <w:t xml:space="preserve">Off-label use in men — FDA-approved only in premenopausal women for HSDD under brand name Vyleesi®</w:t>
            </w:r>
          </w:p>
          <w:p>
            <w:pPr>
              <w:pStyle w:val="ListParagraph"/>
              <w:numPr>
                <w:ilvl w:val="0"/>
                <w:numId w:val="2"/>
              </w:numPr>
              <w:spacing w:before="0" w:after="40"/>
            </w:pPr>
            <w:r>
              <w:rPr>
                <w:rFonts w:ascii="Arial" w:cs="Arial" w:eastAsia="Arial" w:hAnsi="Arial"/>
                <w:color w:val="1A1A2E"/>
                <w:sz w:val="20"/>
                <w:szCs w:val="20"/>
              </w:rPr>
              <w:t xml:space="preserve">Compounded PT-141 (bremelanotide) is available through licensed compounding pharmacies</w:t>
            </w:r>
          </w:p>
          <w:p>
            <w:pPr>
              <w:pStyle w:val="ListParagraph"/>
              <w:numPr>
                <w:ilvl w:val="0"/>
                <w:numId w:val="2"/>
              </w:numPr>
              <w:spacing w:before="0" w:after="40"/>
            </w:pPr>
            <w:r>
              <w:rPr>
                <w:rFonts w:ascii="Arial" w:cs="Arial" w:eastAsia="Arial" w:hAnsi="Arial"/>
                <w:color w:val="1A1A2E"/>
                <w:sz w:val="20"/>
                <w:szCs w:val="20"/>
              </w:rPr>
              <w:t xml:space="preserve">Not a substitute for PDE5 inhibitors in purely vascular ED</w:t>
            </w:r>
          </w:p>
          <w:p>
            <w:pPr>
              <w:pStyle w:val="ListParagraph"/>
              <w:numPr>
                <w:ilvl w:val="0"/>
                <w:numId w:val="2"/>
              </w:numPr>
              <w:spacing w:before="0" w:after="40"/>
            </w:pPr>
            <w:r>
              <w:rPr>
                <w:rFonts w:ascii="Arial" w:cs="Arial" w:eastAsia="Arial" w:hAnsi="Arial"/>
                <w:color w:val="1A1A2E"/>
                <w:sz w:val="20"/>
                <w:szCs w:val="20"/>
              </w:rPr>
              <w:t xml:space="preserve">For best results, use in a calm, comfortable setting — the central mechanism requires receptivity to arousal stimuli</w:t>
            </w:r>
          </w:p>
          <w:p>
            <w:pPr>
              <w:pStyle w:val="ListParagraph"/>
              <w:numPr>
                <w:ilvl w:val="0"/>
                <w:numId w:val="2"/>
              </w:numPr>
              <w:spacing w:before="0" w:after="0"/>
            </w:pPr>
            <w:r>
              <w:rPr>
                <w:rFonts w:ascii="Arial" w:cs="Arial" w:eastAsia="Arial" w:hAnsi="Arial"/>
                <w:color w:val="1A1A2E"/>
                <w:sz w:val="20"/>
                <w:szCs w:val="20"/>
              </w:rPr>
              <w:t xml:space="preserve">Nausea can be reduced by taking it 90 minutes before activity rather than 45 minutes, giving time for nausea to pass</w:t>
            </w:r>
          </w:p>
        </w:tc>
      </w:tr>
    </w:tbl>
    <w:p>
      <w:pPr>
        <w:spacing w:before="0" w:after="12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60"/>
              <w:left w:type="dxa" w:w="140"/>
              <w:bottom w:type="dxa" w:w="0"/>
              <w:right w:type="dxa" w:w="140"/>
            </w:tcMar>
          </w:tcPr>
          <w:p>
            <w:pPr>
              <w:spacing w:before="0" w:after="40"/>
            </w:pPr>
            <w:r>
              <w:rPr>
                <w:rFonts w:ascii="Arial" w:cs="Arial" w:eastAsia="Arial" w:hAnsi="Arial"/>
                <w:b/>
                <w:bCs/>
                <w:color w:val="D4860A"/>
                <w:sz w:val="20"/>
                <w:szCs w:val="20"/>
              </w:rPr>
              <w:t xml:space="preserve">Off-Label Use Notice — PT-141 in Men</w:t>
            </w:r>
          </w:p>
        </w:tc>
      </w:tr>
      <w:tr>
        <w:tc>
          <w:tcPr>
            <w:tcW w:type="dxa" w:w="9360"/>
            <w:tcBorders>
              <w:top w:val="none" w:color="FFFFFF" w:sz="0"/>
              <w:left w:val="none" w:color="FFFFFF" w:sz="0"/>
              <w:bottom w:val="none" w:color="FFFFFF" w:sz="0"/>
              <w:right w:val="none" w:color="FFFFFF" w:sz="0"/>
            </w:tcBorders>
            <w:shd w:fill="FEF9E7"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PT-141 (bremelanotide) is FDA-approved for hypoactive sexual desire disorder in premenopausal women. Its use in men is off-label. Evidence supports its efficacy in men, particularly for psychogenic or mixed-aetiology ED. Your clinician will discuss the evidence and the compounded formulation before prescribing.</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4.  The Option of No Treatment</w:t>
            </w:r>
          </w:p>
        </w:tc>
      </w:tr>
    </w:tbl>
    <w:p>
      <w:pPr>
        <w:spacing w:before="0" w:after="160"/>
      </w:pPr>
    </w:p>
    <w:p>
      <w:pPr>
        <w:spacing w:before="20" w:after="100"/>
      </w:pPr>
      <w:r>
        <w:rPr>
          <w:rFonts w:ascii="Arial" w:cs="Arial" w:eastAsia="Arial" w:hAnsi="Arial"/>
          <w:color w:val="1A1A2E"/>
          <w:sz w:val="22"/>
          <w:szCs w:val="22"/>
        </w:rPr>
        <w:t xml:space="preserve">Erectile dysfunction does not require treatment if you do not wish to pursue it. However, untreated ED may reflect underlying vascular or hormonal conditions that benefit from evaluation and management independent of ED treatment. Your clinician can discuss lifestyle modifications, address underlying causes, and monitor your health without prescribing any ED medication.</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5.  Monitoring</w:t>
            </w:r>
          </w:p>
        </w:tc>
      </w:tr>
    </w:tbl>
    <w:p>
      <w:pPr>
        <w:spacing w:before="0" w:after="160"/>
      </w:pPr>
    </w:p>
    <w:p>
      <w:pPr>
        <w:pStyle w:val="ListParagraph"/>
        <w:numPr>
          <w:ilvl w:val="0"/>
          <w:numId w:val="2"/>
        </w:numPr>
        <w:spacing w:before="20" w:after="60"/>
      </w:pPr>
      <w:r>
        <w:rPr>
          <w:rFonts w:ascii="Arial" w:cs="Arial" w:eastAsia="Arial" w:hAnsi="Arial"/>
          <w:color w:val="1A1A2E"/>
          <w:sz w:val="22"/>
          <w:szCs w:val="22"/>
        </w:rPr>
        <w:t xml:space="preserve">Blood pressure checked before initiating any ED therapy in patients with hypertension or cardiovascular risk.</w:t>
      </w:r>
    </w:p>
    <w:p>
      <w:pPr>
        <w:pStyle w:val="ListParagraph"/>
        <w:numPr>
          <w:ilvl w:val="0"/>
          <w:numId w:val="2"/>
        </w:numPr>
        <w:spacing w:before="20" w:after="60"/>
      </w:pPr>
      <w:r>
        <w:rPr>
          <w:rFonts w:ascii="Arial" w:cs="Arial" w:eastAsia="Arial" w:hAnsi="Arial"/>
          <w:color w:val="1A1A2E"/>
          <w:sz w:val="22"/>
          <w:szCs w:val="22"/>
        </w:rPr>
        <w:t xml:space="preserve">Testosterone and relevant hormones assessed at baseline — testosterone deficiency co-treatment may improve PDE5 inhibitor response.</w:t>
      </w:r>
    </w:p>
    <w:p>
      <w:pPr>
        <w:pStyle w:val="ListParagraph"/>
        <w:numPr>
          <w:ilvl w:val="0"/>
          <w:numId w:val="2"/>
        </w:numPr>
        <w:spacing w:before="20" w:after="60"/>
      </w:pPr>
      <w:r>
        <w:rPr>
          <w:rFonts w:ascii="Arial" w:cs="Arial" w:eastAsia="Arial" w:hAnsi="Arial"/>
          <w:color w:val="1A1A2E"/>
          <w:sz w:val="22"/>
          <w:szCs w:val="22"/>
        </w:rPr>
        <w:t xml:space="preserve">PSA monitored per age-appropriate guidelines if testosterone co-treatment is used.</w:t>
      </w:r>
    </w:p>
    <w:p>
      <w:pPr>
        <w:pStyle w:val="ListParagraph"/>
        <w:numPr>
          <w:ilvl w:val="0"/>
          <w:numId w:val="2"/>
        </w:numPr>
        <w:spacing w:before="20" w:after="60"/>
      </w:pPr>
      <w:r>
        <w:rPr>
          <w:rFonts w:ascii="Arial" w:cs="Arial" w:eastAsia="Arial" w:hAnsi="Arial"/>
          <w:color w:val="1A1A2E"/>
          <w:sz w:val="22"/>
          <w:szCs w:val="22"/>
        </w:rPr>
        <w:t xml:space="preserve">Response to treatment assessed at follow-up visits. Dose adjustments made based on efficacy and tolerability.</w:t>
      </w:r>
    </w:p>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6.  Patient Acknowledgements</w:t>
            </w:r>
          </w:p>
        </w:tc>
      </w:tr>
    </w:tbl>
    <w:p>
      <w:pPr>
        <w:spacing w:before="0" w:after="160"/>
      </w:pPr>
    </w:p>
    <w:p>
      <w:pPr>
        <w:spacing w:before="20" w:after="100"/>
      </w:pPr>
      <w:r>
        <w:rPr>
          <w:rFonts w:ascii="Arial" w:cs="Arial" w:eastAsia="Arial" w:hAnsi="Arial"/>
          <w:color w:val="1A1A2E"/>
          <w:sz w:val="22"/>
          <w:szCs w:val="22"/>
        </w:rPr>
        <w:t xml:space="preserve">By signing below, I confirm that:</w:t>
      </w:r>
    </w:p>
    <w:p>
      <w:pPr>
        <w:spacing w:before="0" w:after="100"/>
      </w:pPr>
    </w:p>
    <w:p>
      <w:pPr>
        <w:pStyle w:val="ListParagraph"/>
        <w:numPr>
          <w:ilvl w:val="0"/>
          <w:numId w:val="3"/>
        </w:numPr>
        <w:spacing w:before="20" w:after="80"/>
      </w:pPr>
      <w:r>
        <w:rPr>
          <w:rFonts w:ascii="Arial" w:cs="Arial" w:eastAsia="Arial" w:hAnsi="Arial"/>
          <w:color w:val="1A1A2E"/>
          <w:sz w:val="22"/>
          <w:szCs w:val="22"/>
        </w:rPr>
        <w:t xml:space="preserve">I have read this informed consent document and had the opportunity to ask questions.</w:t>
      </w:r>
    </w:p>
    <w:p>
      <w:pPr>
        <w:pStyle w:val="ListParagraph"/>
        <w:numPr>
          <w:ilvl w:val="0"/>
          <w:numId w:val="3"/>
        </w:numPr>
        <w:spacing w:before="20" w:after="80"/>
      </w:pPr>
      <w:r>
        <w:rPr>
          <w:rFonts w:ascii="Arial" w:cs="Arial" w:eastAsia="Arial" w:hAnsi="Arial"/>
          <w:color w:val="1A1A2E"/>
          <w:sz w:val="22"/>
          <w:szCs w:val="22"/>
        </w:rPr>
        <w:t xml:space="preserve">I understand the mechanism, potential benefits, risks, and contraindications of the ED medication(s) discussed with my clinician.</w:t>
      </w:r>
    </w:p>
    <w:p>
      <w:pPr>
        <w:pStyle w:val="ListParagraph"/>
        <w:numPr>
          <w:ilvl w:val="0"/>
          <w:numId w:val="3"/>
        </w:numPr>
        <w:spacing w:before="20" w:after="80"/>
      </w:pPr>
      <w:r>
        <w:rPr>
          <w:rFonts w:ascii="Arial" w:cs="Arial" w:eastAsia="Arial" w:hAnsi="Arial"/>
          <w:color w:val="1A1A2E"/>
          <w:sz w:val="22"/>
          <w:szCs w:val="22"/>
        </w:rPr>
        <w:t xml:space="preserve">I understand that PT-141 / bremelanotide is used off-label in men, and I have been informed of this status.</w:t>
      </w:r>
    </w:p>
    <w:p>
      <w:pPr>
        <w:pStyle w:val="ListParagraph"/>
        <w:numPr>
          <w:ilvl w:val="0"/>
          <w:numId w:val="3"/>
        </w:numPr>
        <w:spacing w:before="20" w:after="80"/>
      </w:pPr>
      <w:r>
        <w:rPr>
          <w:rFonts w:ascii="Arial" w:cs="Arial" w:eastAsia="Arial" w:hAnsi="Arial"/>
          <w:color w:val="1A1A2E"/>
          <w:sz w:val="22"/>
          <w:szCs w:val="22"/>
        </w:rPr>
        <w:t xml:space="preserve">I understand that Trimix is a compounded medication and has not been approved by the FDA as a finished drug product.</w:t>
      </w:r>
    </w:p>
    <w:p>
      <w:pPr>
        <w:pStyle w:val="ListParagraph"/>
        <w:numPr>
          <w:ilvl w:val="0"/>
          <w:numId w:val="3"/>
        </w:numPr>
        <w:spacing w:before="20" w:after="80"/>
      </w:pPr>
      <w:r>
        <w:rPr>
          <w:rFonts w:ascii="Arial" w:cs="Arial" w:eastAsia="Arial" w:hAnsi="Arial"/>
          <w:color w:val="1A1A2E"/>
          <w:sz w:val="22"/>
          <w:szCs w:val="22"/>
        </w:rPr>
        <w:t xml:space="preserve">I understand the priapism emergency protocol: if an erection lasts more than 4 hours, I must go to the Emergency Room immediately.</w:t>
      </w:r>
    </w:p>
    <w:p>
      <w:pPr>
        <w:pStyle w:val="ListParagraph"/>
        <w:numPr>
          <w:ilvl w:val="0"/>
          <w:numId w:val="3"/>
        </w:numPr>
        <w:spacing w:before="20" w:after="80"/>
      </w:pPr>
      <w:r>
        <w:rPr>
          <w:rFonts w:ascii="Arial" w:cs="Arial" w:eastAsia="Arial" w:hAnsi="Arial"/>
          <w:color w:val="1A1A2E"/>
          <w:sz w:val="22"/>
          <w:szCs w:val="22"/>
        </w:rPr>
        <w:t xml:space="preserve">I understand that ED may be a sign of underlying cardiovascular or hormonal conditions, and I consent to appropriate evaluation.</w:t>
      </w:r>
    </w:p>
    <w:p>
      <w:pPr>
        <w:pStyle w:val="ListParagraph"/>
        <w:numPr>
          <w:ilvl w:val="0"/>
          <w:numId w:val="3"/>
        </w:numPr>
        <w:spacing w:before="20" w:after="80"/>
      </w:pPr>
      <w:r>
        <w:rPr>
          <w:rFonts w:ascii="Arial" w:cs="Arial" w:eastAsia="Arial" w:hAnsi="Arial"/>
          <w:color w:val="1A1A2E"/>
          <w:sz w:val="22"/>
          <w:szCs w:val="22"/>
        </w:rPr>
        <w:t xml:space="preserve">I understand that results vary and that no specific outcome is guaranteed.</w:t>
      </w:r>
    </w:p>
    <w:p>
      <w:pPr>
        <w:pStyle w:val="ListParagraph"/>
        <w:numPr>
          <w:ilvl w:val="0"/>
          <w:numId w:val="3"/>
        </w:numPr>
        <w:spacing w:before="20" w:after="80"/>
      </w:pPr>
      <w:r>
        <w:rPr>
          <w:rFonts w:ascii="Arial" w:cs="Arial" w:eastAsia="Arial" w:hAnsi="Arial"/>
          <w:color w:val="1A1A2E"/>
          <w:sz w:val="22"/>
          <w:szCs w:val="22"/>
        </w:rPr>
        <w:t xml:space="preserve">I consent to the treatment(s) discussed and documented in my medical record.</w:t>
      </w:r>
    </w:p>
    <w:p>
      <w:pPr>
        <w:pStyle w:val="ListParagraph"/>
        <w:numPr>
          <w:ilvl w:val="0"/>
          <w:numId w:val="3"/>
        </w:numPr>
        <w:spacing w:before="20" w:after="80"/>
      </w:pPr>
      <w:r>
        <w:rPr>
          <w:rFonts w:ascii="Arial" w:cs="Arial" w:eastAsia="Arial" w:hAnsi="Arial"/>
          <w:color w:val="1A1A2E"/>
          <w:sz w:val="22"/>
          <w:szCs w:val="22"/>
        </w:rPr>
        <w:t xml:space="preserve">I will disclose all current medications, supplements, and other compounds to my clinician at every visit, including testosterone therapy, GLP-1 agents, or other hormonal medications not prescribed by Revive, to allow assessment of drug interactions.</w:t>
      </w:r>
    </w:p>
    <w:p>
      <w:pPr>
        <w:spacing w:before="0" w:after="24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Patient Signature</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w:t>
            </w:r>
          </w:p>
        </w:tc>
      </w:tr>
    </w:tbl>
    <w:p>
      <w:pPr>
        <w:spacing w:before="0" w:after="20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Printed Name</w:t>
            </w:r>
          </w:p>
        </w:tc>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 of Birth</w:t>
            </w:r>
          </w:p>
        </w:tc>
        <w:tc>
          <w:tcPr>
            <w:tcW w:type="dxa" w:w="312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Clinician Name &amp; NPI</w:t>
            </w:r>
          </w:p>
        </w:tc>
      </w:tr>
    </w:tbl>
    <w:p>
      <w:pPr>
        <w:spacing w:before="0" w:after="2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Document Control</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Informed Consent — ED Medications  ·  v1.1  ·  March 2026  ·  Patients on active ED therapy must re-acknowledge this consent at their annual follow-up.  ·  Updated versions provided when material regulatory or clinical changes occur.  ·  File in patient medical record. Provide copy to patient.</w:t>
            </w:r>
          </w:p>
        </w:tc>
      </w:tr>
    </w:tbl>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C3C7" w:sz="4"/>
      </w:pBdr>
      <w:spacing w:before="80" w:after="0"/>
    </w:pPr>
    <w:r>
      <w:rPr>
        <w:rFonts w:ascii="Arial" w:cs="Arial" w:eastAsia="Arial" w:hAnsi="Arial"/>
        <w:color w:val="888888"/>
        <w:sz w:val="18"/>
        <w:szCs w:val="18"/>
      </w:rPr>
      <w:t xml:space="preserve">Revive Low T Clinic  ·  Informed Consent — Erectile Dysfunction  ·  206-960-4770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shd w:fill="1B3A6B" w:val="clear"/>
          <w:tcMar>
            <w:top w:type="dxa" w:w="80"/>
            <w:left w:type="dxa" w:w="160"/>
            <w:bottom w:type="dxa" w:w="80"/>
            <w:right w:type="dxa" w:w="80"/>
          </w:tcMar>
        </w:tcPr>
        <w:p>
          <w:pPr>
            <w:spacing w:before="0" w:after="0"/>
          </w:pPr>
          <w:r>
            <w:rPr>
              <w:rFonts w:ascii="Arial" w:cs="Arial" w:eastAsia="Arial" w:hAnsi="Arial"/>
              <w:b/>
              <w:bCs/>
              <w:color w:val="FFFFFF"/>
              <w:sz w:val="20"/>
              <w:szCs w:val="20"/>
            </w:rPr>
            <w:t xml:space="preserve">REVIVE LOW T CLINIC</w:t>
          </w:r>
        </w:p>
      </w:tc>
      <w:tc>
        <w:tcPr>
          <w:tcW w:type="dxa" w:w="3960"/>
          <w:tcBorders>
            <w:top w:val="none" w:color="FFFFFF" w:sz="0"/>
            <w:left w:val="none" w:color="FFFFFF" w:sz="0"/>
            <w:bottom w:val="none" w:color="FFFFFF" w:sz="0"/>
            <w:right w:val="none" w:color="FFFFFF" w:sz="0"/>
          </w:tcBorders>
          <w:shd w:fill="1B3A6B" w:val="clear"/>
          <w:tcMar>
            <w:top w:type="dxa" w:w="80"/>
            <w:left w:type="dxa" w:w="80"/>
            <w:bottom w:type="dxa" w:w="80"/>
            <w:right w:type="dxa" w:w="160"/>
          </w:tcMar>
        </w:tcPr>
        <w:p>
          <w:pPr>
            <w:spacing w:before="0" w:after="0"/>
            <w:jc w:val="right"/>
          </w:pPr>
          <w:r>
            <w:rPr>
              <w:rFonts w:ascii="Arial" w:cs="Arial" w:eastAsia="Arial" w:hAnsi="Arial"/>
              <w:color w:val="FFFFFF"/>
              <w:sz w:val="18"/>
              <w:szCs w:val="18"/>
            </w:rPr>
            <w:t xml:space="preserve">Informed Consent — ED  |  206-960-4770</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90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80"/>
      <w:outlineLvl w:val="0"/>
    </w:pPr>
    <w:rPr>
      <w:rFonts w:ascii="Arial" w:cs="Arial" w:eastAsia="Arial" w:hAnsi="Arial"/>
      <w:b/>
      <w:bCs/>
      <w:color w:val="1B3A6B"/>
      <w:sz w:val="28"/>
      <w:szCs w:val="28"/>
    </w:rPr>
  </w:style>
  <w:style w:type="paragraph" w:styleId="Heading2">
    <w:name w:val="Heading 2"/>
    <w:basedOn w:val="Normal"/>
    <w:next w:val="Normal"/>
    <w:qFormat/>
    <w:pPr>
      <w:spacing w:before="180" w:after="60"/>
      <w:outlineLvl w:val="1"/>
    </w:pPr>
    <w:rPr>
      <w:rFonts w:ascii="Arial" w:cs="Arial" w:eastAsia="Arial" w:hAnsi="Arial"/>
      <w:b/>
      <w:bCs/>
      <w:color w:val="1A7A8C"/>
      <w:sz w:val="24"/>
      <w:szCs w:val="24"/>
    </w:rPr>
  </w:style>
  <w:style w:type="paragraph" w:styleId="Heading3">
    <w:name w:val="Heading 3"/>
    <w:basedOn w:val="Normal"/>
    <w:next w:val="Normal"/>
    <w:qFormat/>
    <w:pPr>
      <w:spacing w:before="140" w:after="40"/>
      <w:outlineLvl w:val="2"/>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2026-03-18T16:06:23.547Z</dcterms:created>
  <dcterms:modified xsi:type="dcterms:W3CDTF">2026-03-18T16:06:23.548Z</dcterms:modified>
</cp:coreProperties>
</file>

<file path=docProps/custom.xml><?xml version="1.0" encoding="utf-8"?>
<Properties xmlns="http://schemas.openxmlformats.org/officeDocument/2006/custom-properties" xmlns:vt="http://schemas.openxmlformats.org/officeDocument/2006/docPropsVTypes"/>
</file>