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48"/>
          <w:szCs w:val="48"/>
        </w:rPr>
        <w:t xml:space="preserve">FINANCIAL POLICY</w:t>
      </w:r>
    </w:p>
    <w:p>
      <w:pPr>
        <w:spacing w:before="0" w:after="60"/>
        <w:jc w:val="center"/>
      </w:pPr>
      <w:r>
        <w:rPr>
          <w:rFonts w:ascii="Arial" w:cs="Arial" w:eastAsia="Arial" w:hAnsi="Arial"/>
          <w:b/>
          <w:bCs/>
          <w:color w:val="1A7A8C"/>
          <w:sz w:val="30"/>
          <w:szCs w:val="30"/>
        </w:rPr>
        <w:t xml:space="preserve">&amp; Agreement to Pay</w:t>
      </w:r>
    </w:p>
    <w:p>
      <w:pPr>
        <w:spacing w:before="0" w:after="280"/>
        <w:jc w:val="center"/>
      </w:pPr>
      <w:r>
        <w:rPr>
          <w:rFonts w:ascii="Arial" w:cs="Arial" w:eastAsia="Arial" w:hAnsi="Arial"/>
          <w:color w:val="888888"/>
          <w:sz w:val="20"/>
          <w:szCs w:val="20"/>
        </w:rPr>
        <w:t xml:space="preserve">Revive Low T Clinic  ·  206-960-4770  ·  revivelowt.com</w:t>
      </w:r>
    </w:p>
    <w:p>
      <w:pPr>
        <w:pBdr>
          <w:bottom w:val="single" w:color="1B3A6B" w:sz="8"/>
        </w:pBdr>
        <w:spacing w:before="0" w:after="0"/>
      </w:pPr>
    </w:p>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0"/>
        <w:gridCol w:w="3760"/>
      </w:tblGrid>
      <w:tr>
        <w:tc>
          <w:tcPr>
            <w:tcW w:type="dxa" w:w="56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Patient Full Name</w:t>
            </w:r>
          </w:p>
        </w:tc>
        <w:tc>
          <w:tcPr>
            <w:tcW w:type="dxa" w:w="376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 of Birth</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w:t>
            </w:r>
          </w:p>
        </w:tc>
        <w:tc>
          <w:tcPr>
            <w:tcW w:type="dxa" w:w="656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Plan Selected (circle): Standard / Essential / Complete</w:t>
            </w:r>
          </w:p>
        </w:tc>
      </w:tr>
    </w:tbl>
    <w:p>
      <w:pPr>
        <w:spacing w:before="0" w:after="2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1.  Cash-Pay Practice — How Billing Works at Revive</w:t>
            </w:r>
          </w:p>
        </w:tc>
      </w:tr>
    </w:tbl>
    <w:p>
      <w:pPr>
        <w:spacing w:before="0" w:after="16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Revive Is a Cash-Pay Clinic for Clinical Services</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Revive Low T Clinic does NOT bill insurance carriers for office visits, physician consultations, or laboratory services. All clinical fees are due and payable directly to Revive at the time of service, regardless of your insurance coverage or the outcome of any insurance claim you submit independently.</w:t>
            </w:r>
          </w:p>
        </w:tc>
      </w:tr>
    </w:tbl>
    <w:p>
      <w:pPr>
        <w:spacing w:before="0" w:after="120"/>
      </w:pPr>
    </w:p>
    <w:p>
      <w:pPr>
        <w:spacing w:before="20" w:after="100"/>
      </w:pPr>
      <w:r>
        <w:rPr>
          <w:rFonts w:ascii="Arial" w:cs="Arial" w:eastAsia="Arial" w:hAnsi="Arial"/>
          <w:color w:val="1A1A2E"/>
          <w:sz w:val="22"/>
          <w:szCs w:val="22"/>
        </w:rPr>
        <w:t xml:space="preserve">This arrangement differs from most traditional medical practices. Please read this section carefully so you understand exactly how your payments work.</w:t>
      </w:r>
    </w:p>
    <w:p>
      <w:pPr>
        <w:spacing w:before="0" w:after="100"/>
      </w:pPr>
    </w:p>
    <w:p>
      <w:pPr>
        <w:pStyle w:val="ListParagraph"/>
        <w:numPr>
          <w:ilvl w:val="0"/>
          <w:numId w:val="2"/>
        </w:numPr>
        <w:spacing w:before="20" w:after="60"/>
      </w:pPr>
      <w:r>
        <w:rPr>
          <w:rFonts w:ascii="Arial" w:cs="Arial" w:eastAsia="Arial" w:hAnsi="Arial"/>
          <w:color w:val="1A1A2E"/>
          <w:sz w:val="22"/>
          <w:szCs w:val="22"/>
        </w:rPr>
        <w:t xml:space="preserve">Office visits, physician consultations, lab draws, and lab interpretation fees are charged directly to you and are due at time of service.</w:t>
      </w:r>
    </w:p>
    <w:p>
      <w:pPr>
        <w:pStyle w:val="ListParagraph"/>
        <w:numPr>
          <w:ilvl w:val="0"/>
          <w:numId w:val="2"/>
        </w:numPr>
        <w:spacing w:before="20" w:after="60"/>
      </w:pPr>
      <w:r>
        <w:rPr>
          <w:rFonts w:ascii="Arial" w:cs="Arial" w:eastAsia="Arial" w:hAnsi="Arial"/>
          <w:color w:val="1A1A2E"/>
          <w:sz w:val="22"/>
          <w:szCs w:val="22"/>
        </w:rPr>
        <w:t xml:space="preserve">Revive does not submit claims to any insurance carrier for clinical services on your behalf.</w:t>
      </w:r>
    </w:p>
    <w:p>
      <w:pPr>
        <w:pStyle w:val="ListParagraph"/>
        <w:numPr>
          <w:ilvl w:val="0"/>
          <w:numId w:val="2"/>
        </w:numPr>
        <w:spacing w:before="20" w:after="60"/>
      </w:pPr>
      <w:r>
        <w:rPr>
          <w:rFonts w:ascii="Arial" w:cs="Arial" w:eastAsia="Arial" w:hAnsi="Arial"/>
          <w:color w:val="1A1A2E"/>
          <w:sz w:val="22"/>
          <w:szCs w:val="22"/>
        </w:rPr>
        <w:t xml:space="preserve">You are responsible for 100% of all clinical charges regardless of whether your insurance plan would otherwise cover similar services at a participating provider.</w:t>
      </w:r>
    </w:p>
    <w:p>
      <w:pPr>
        <w:pStyle w:val="ListParagraph"/>
        <w:numPr>
          <w:ilvl w:val="0"/>
          <w:numId w:val="2"/>
        </w:numPr>
        <w:spacing w:before="20" w:after="60"/>
      </w:pPr>
      <w:r>
        <w:rPr>
          <w:rFonts w:ascii="Arial" w:cs="Arial" w:eastAsia="Arial" w:hAnsi="Arial"/>
          <w:color w:val="1A1A2E"/>
          <w:sz w:val="22"/>
          <w:szCs w:val="22"/>
        </w:rPr>
        <w:t xml:space="preserve">You may submit your own claim to your insurance carrier using a superbill (itemised receipt with diagnosis and procedure codes). Revive will provide a superbill on request. Whether your insurer reimburses you is between you and your insurer — Revive has no control over and bears no responsibility for that outcome.</w:t>
      </w:r>
    </w:p>
    <w:p>
      <w:pPr>
        <w:pStyle w:val="ListParagraph"/>
        <w:numPr>
          <w:ilvl w:val="0"/>
          <w:numId w:val="2"/>
        </w:numPr>
        <w:spacing w:before="20" w:after="60"/>
      </w:pPr>
      <w:r>
        <w:rPr>
          <w:rFonts w:ascii="Arial" w:cs="Arial" w:eastAsia="Arial" w:hAnsi="Arial"/>
          <w:color w:val="1A1A2E"/>
          <w:sz w:val="22"/>
          <w:szCs w:val="22"/>
        </w:rPr>
        <w:t xml:space="preserve">Your FSA or HSA may reimburse all Revive clinical charges. Revive provides itemised receipts suitable for FSA/HSA submission.</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2.  Insurance Billing — Medications Only</w:t>
            </w:r>
          </w:p>
        </w:tc>
      </w:tr>
    </w:tbl>
    <w:p>
      <w:pPr>
        <w:spacing w:before="0" w:after="16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What "Insurance Accepted" Means at Revive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When Revive says "insurance accepted," this refers exclusively to prescription medication billing at your chosen pharmacy — not to office visits or lab fees. Revive prescribes FDA-approved medications to your local pharmacy (Costco, Walgreens, CVS, or any other), where your insurance may cover the medication at your standard pharmacy copay. This is where the meaningful insurance benefit occurs.</w:t>
            </w:r>
          </w:p>
        </w:tc>
      </w:tr>
    </w:tbl>
    <w:p>
      <w:pPr>
        <w:spacing w:before="0" w:after="120"/>
      </w:pPr>
    </w:p>
    <w:p>
      <w:pPr>
        <w:spacing w:before="20" w:after="100"/>
      </w:pPr>
      <w:r>
        <w:rPr>
          <w:rFonts w:ascii="Arial" w:cs="Arial" w:eastAsia="Arial" w:hAnsi="Arial"/>
          <w:color w:val="1A1A2E"/>
          <w:sz w:val="22"/>
          <w:szCs w:val="22"/>
        </w:rPr>
        <w:t xml:space="preserve">By providing your insurance information to Revive, you authorise the following — and only the following:</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Coordination with your chosen pharmacy to bill your insurance plan for prescription medications.</w:t>
      </w:r>
    </w:p>
    <w:p>
      <w:pPr>
        <w:pStyle w:val="ListParagraph"/>
        <w:numPr>
          <w:ilvl w:val="0"/>
          <w:numId w:val="2"/>
        </w:numPr>
        <w:spacing w:before="20" w:after="60"/>
      </w:pPr>
      <w:r>
        <w:rPr>
          <w:rFonts w:ascii="Arial" w:cs="Arial" w:eastAsia="Arial" w:hAnsi="Arial"/>
          <w:color w:val="1A1A2E"/>
          <w:sz w:val="22"/>
          <w:szCs w:val="22"/>
        </w:rPr>
        <w:t xml:space="preserve">Submission of prior authorisation requests and supporting documentation on your behalf when required by your insurer for medications.</w:t>
      </w:r>
    </w:p>
    <w:p>
      <w:pPr>
        <w:pStyle w:val="ListParagraph"/>
        <w:numPr>
          <w:ilvl w:val="0"/>
          <w:numId w:val="2"/>
        </w:numPr>
        <w:spacing w:before="20" w:after="60"/>
      </w:pPr>
      <w:r>
        <w:rPr>
          <w:rFonts w:ascii="Arial" w:cs="Arial" w:eastAsia="Arial" w:hAnsi="Arial"/>
          <w:color w:val="1A1A2E"/>
          <w:sz w:val="22"/>
          <w:szCs w:val="22"/>
        </w:rPr>
        <w:t xml:space="preserve">Follow-up with your insurer regarding medication coverage, appeals, and refill authorisations.</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  What Providing Insurance Information Does NOT Authorise</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60"/>
            </w:pPr>
            <w:r>
              <w:rPr>
                <w:rFonts w:ascii="Arial" w:cs="Arial" w:eastAsia="Arial" w:hAnsi="Arial"/>
                <w:b/>
                <w:bCs/>
                <w:color w:val="D4860A"/>
                <w:sz w:val="20"/>
                <w:szCs w:val="20"/>
              </w:rPr>
              <w:t xml:space="preserve">Providing your insurance information to Revive does NOT:</w:t>
            </w:r>
          </w:p>
          <w:p>
            <w:pPr>
              <w:pStyle w:val="ListParagraph"/>
              <w:numPr>
                <w:ilvl w:val="0"/>
                <w:numId w:val="2"/>
              </w:numPr>
              <w:spacing w:before="0" w:after="60"/>
            </w:pPr>
            <w:r>
              <w:rPr>
                <w:rFonts w:ascii="Arial" w:cs="Arial" w:eastAsia="Arial" w:hAnsi="Arial"/>
                <w:color w:val="1A1A2E"/>
                <w:sz w:val="20"/>
                <w:szCs w:val="20"/>
              </w:rPr>
              <w:t xml:space="preserve">Assign your insurance benefits to Revive for any clinical service.</w:t>
            </w:r>
          </w:p>
          <w:p>
            <w:pPr>
              <w:pStyle w:val="ListParagraph"/>
              <w:numPr>
                <w:ilvl w:val="0"/>
                <w:numId w:val="2"/>
              </w:numPr>
              <w:spacing w:before="0" w:after="60"/>
            </w:pPr>
            <w:r>
              <w:rPr>
                <w:rFonts w:ascii="Arial" w:cs="Arial" w:eastAsia="Arial" w:hAnsi="Arial"/>
                <w:color w:val="1A1A2E"/>
                <w:sz w:val="20"/>
                <w:szCs w:val="20"/>
              </w:rPr>
              <w:t xml:space="preserve">Authorise Revive to bill your insurance carrier for office visits, consultations, lab draws, or any other clinical service.</w:t>
            </w:r>
          </w:p>
          <w:p>
            <w:pPr>
              <w:pStyle w:val="ListParagraph"/>
              <w:numPr>
                <w:ilvl w:val="0"/>
                <w:numId w:val="2"/>
              </w:numPr>
              <w:spacing w:before="0" w:after="60"/>
            </w:pPr>
            <w:r>
              <w:rPr>
                <w:rFonts w:ascii="Arial" w:cs="Arial" w:eastAsia="Arial" w:hAnsi="Arial"/>
                <w:color w:val="1A1A2E"/>
                <w:sz w:val="20"/>
                <w:szCs w:val="20"/>
              </w:rPr>
              <w:t xml:space="preserve">Create any expectation that your insurance will be billed or that any clinical charges will be reduced based on insurance coverage.</w:t>
            </w:r>
          </w:p>
          <w:p>
            <w:pPr>
              <w:pStyle w:val="ListParagraph"/>
              <w:numPr>
                <w:ilvl w:val="0"/>
                <w:numId w:val="2"/>
              </w:numPr>
              <w:spacing w:before="0" w:after="60"/>
            </w:pPr>
            <w:r>
              <w:rPr>
                <w:rFonts w:ascii="Arial" w:cs="Arial" w:eastAsia="Arial" w:hAnsi="Arial"/>
                <w:color w:val="1A1A2E"/>
                <w:sz w:val="20"/>
                <w:szCs w:val="20"/>
              </w:rPr>
              <w:t xml:space="preserve">Make Revive a participating or in-network provider with your insurance carrier.</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8C" w:sz="16"/>
              <w:bottom w:val="single" w:color="1A7A8C" w:sz="1"/>
              <w:right w:val="none" w:color="FFFFFF" w:sz="0"/>
            </w:tcBorders>
            <w:shd w:fill="EAF4F8" w:val="clear"/>
            <w:tcMar>
              <w:top w:type="dxa" w:w="70"/>
              <w:left w:type="dxa" w:w="140"/>
              <w:bottom w:type="dxa" w:w="70"/>
              <w:right w:type="dxa" w:w="140"/>
            </w:tcMar>
          </w:tcPr>
          <w:p>
            <w:pPr>
              <w:spacing w:before="0" w:after="0"/>
            </w:pPr>
            <w:r>
              <w:rPr>
                <w:rFonts w:ascii="Arial" w:cs="Arial" w:eastAsia="Arial" w:hAnsi="Arial"/>
                <w:b/>
                <w:bCs/>
                <w:color w:val="1B3A6B"/>
                <w:sz w:val="23"/>
                <w:szCs w:val="23"/>
              </w:rPr>
              <w:t xml:space="preserve">Insurance Plans That Typically Cover Testosterone Medication</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EAFAF1" w:val="clear"/>
            <w:tcMar>
              <w:top w:type="dxa" w:w="100"/>
              <w:left w:type="dxa" w:w="120"/>
              <w:bottom w:type="dxa" w:w="100"/>
              <w:right w:type="dxa" w:w="120"/>
            </w:tcMar>
          </w:tcPr>
          <w:p>
            <w:pPr>
              <w:spacing w:before="0" w:after="100"/>
            </w:pPr>
            <w:r>
              <w:rPr>
                <w:rFonts w:ascii="Arial" w:cs="Arial" w:eastAsia="Arial" w:hAnsi="Arial"/>
                <w:b/>
                <w:bCs/>
                <w:color w:val="1A7A44"/>
                <w:sz w:val="20"/>
                <w:szCs w:val="20"/>
              </w:rPr>
              <w:t xml:space="preserve">✅  Usually Covered — Testosterone Rx</w:t>
            </w:r>
          </w:p>
          <w:p>
            <w:pPr>
              <w:pStyle w:val="ListParagraph"/>
              <w:numPr>
                <w:ilvl w:val="0"/>
                <w:numId w:val="2"/>
              </w:numPr>
              <w:spacing w:before="0" w:after="60"/>
            </w:pPr>
            <w:r>
              <w:rPr>
                <w:rFonts w:ascii="Arial" w:cs="Arial" w:eastAsia="Arial" w:hAnsi="Arial"/>
                <w:color w:val="1A1A2E"/>
                <w:sz w:val="20"/>
                <w:szCs w:val="20"/>
              </w:rPr>
              <w:t xml:space="preserve">Premera Blue Cross</w:t>
            </w:r>
          </w:p>
          <w:p>
            <w:pPr>
              <w:pStyle w:val="ListParagraph"/>
              <w:numPr>
                <w:ilvl w:val="0"/>
                <w:numId w:val="2"/>
              </w:numPr>
              <w:spacing w:before="0" w:after="60"/>
            </w:pPr>
            <w:r>
              <w:rPr>
                <w:rFonts w:ascii="Arial" w:cs="Arial" w:eastAsia="Arial" w:hAnsi="Arial"/>
                <w:color w:val="1A1A2E"/>
                <w:sz w:val="20"/>
                <w:szCs w:val="20"/>
              </w:rPr>
              <w:t xml:space="preserve">Regence BlueCross BlueShield</w:t>
            </w:r>
          </w:p>
          <w:p>
            <w:pPr>
              <w:pStyle w:val="ListParagraph"/>
              <w:numPr>
                <w:ilvl w:val="0"/>
                <w:numId w:val="2"/>
              </w:numPr>
              <w:spacing w:before="0" w:after="60"/>
            </w:pPr>
            <w:r>
              <w:rPr>
                <w:rFonts w:ascii="Arial" w:cs="Arial" w:eastAsia="Arial" w:hAnsi="Arial"/>
                <w:color w:val="1A1A2E"/>
                <w:sz w:val="20"/>
                <w:szCs w:val="20"/>
              </w:rPr>
              <w:t xml:space="preserve">Aetna</w:t>
            </w:r>
          </w:p>
          <w:p>
            <w:pPr>
              <w:pStyle w:val="ListParagraph"/>
              <w:numPr>
                <w:ilvl w:val="0"/>
                <w:numId w:val="2"/>
              </w:numPr>
              <w:spacing w:before="0" w:after="60"/>
            </w:pPr>
            <w:r>
              <w:rPr>
                <w:rFonts w:ascii="Arial" w:cs="Arial" w:eastAsia="Arial" w:hAnsi="Arial"/>
                <w:color w:val="1A1A2E"/>
                <w:sz w:val="20"/>
                <w:szCs w:val="20"/>
              </w:rPr>
              <w:t xml:space="preserve">UnitedHealthcare</w:t>
            </w:r>
          </w:p>
          <w:p>
            <w:pPr>
              <w:pStyle w:val="ListParagraph"/>
              <w:numPr>
                <w:ilvl w:val="0"/>
                <w:numId w:val="2"/>
              </w:numPr>
              <w:spacing w:before="0" w:after="60"/>
            </w:pPr>
            <w:r>
              <w:rPr>
                <w:rFonts w:ascii="Arial" w:cs="Arial" w:eastAsia="Arial" w:hAnsi="Arial"/>
                <w:color w:val="1A1A2E"/>
                <w:sz w:val="20"/>
                <w:szCs w:val="20"/>
              </w:rPr>
              <w:t xml:space="preserve">Cigna</w:t>
            </w:r>
          </w:p>
          <w:p>
            <w:pPr>
              <w:pStyle w:val="ListParagraph"/>
              <w:numPr>
                <w:ilvl w:val="0"/>
                <w:numId w:val="2"/>
              </w:numPr>
              <w:spacing w:before="0" w:after="60"/>
            </w:pPr>
            <w:r>
              <w:rPr>
                <w:rFonts w:ascii="Arial" w:cs="Arial" w:eastAsia="Arial" w:hAnsi="Arial"/>
                <w:color w:val="1A1A2E"/>
                <w:sz w:val="20"/>
                <w:szCs w:val="20"/>
              </w:rPr>
              <w:t xml:space="preserve">Kaiser Permanente</w:t>
            </w:r>
          </w:p>
          <w:p>
            <w:pPr>
              <w:pStyle w:val="ListParagraph"/>
              <w:numPr>
                <w:ilvl w:val="0"/>
                <w:numId w:val="2"/>
              </w:numPr>
              <w:spacing w:before="0" w:after="60"/>
            </w:pPr>
            <w:r>
              <w:rPr>
                <w:rFonts w:ascii="Arial" w:cs="Arial" w:eastAsia="Arial" w:hAnsi="Arial"/>
                <w:color w:val="1A1A2E"/>
                <w:sz w:val="20"/>
                <w:szCs w:val="20"/>
              </w:rPr>
              <w:t xml:space="preserve">Medicare Part D</w:t>
            </w:r>
          </w:p>
          <w:p>
            <w:pPr>
              <w:pStyle w:val="ListParagraph"/>
              <w:numPr>
                <w:ilvl w:val="0"/>
                <w:numId w:val="2"/>
              </w:numPr>
              <w:spacing w:before="0" w:after="60"/>
            </w:pPr>
            <w:r>
              <w:rPr>
                <w:rFonts w:ascii="Arial" w:cs="Arial" w:eastAsia="Arial" w:hAnsi="Arial"/>
                <w:color w:val="1A1A2E"/>
                <w:sz w:val="20"/>
                <w:szCs w:val="20"/>
              </w:rPr>
              <w:t xml:space="preserve">Most employer-sponsored plans</w:t>
            </w:r>
          </w:p>
        </w:tc>
        <w:tc>
          <w:tcPr>
            <w:tcW w:type="dxa" w:w="4680"/>
            <w:tcBorders>
              <w:top w:val="single" w:color="BDC3C7" w:sz="1"/>
              <w:left w:val="single" w:color="BDC3C7" w:sz="1"/>
              <w:bottom w:val="single" w:color="BDC3C7" w:sz="1"/>
              <w:right w:val="single" w:color="BDC3C7" w:sz="1"/>
            </w:tcBorders>
            <w:shd w:fill="FEF9E7" w:val="clear"/>
            <w:tcMar>
              <w:top w:type="dxa" w:w="100"/>
              <w:left w:type="dxa" w:w="120"/>
              <w:bottom w:type="dxa" w:w="100"/>
              <w:right w:type="dxa" w:w="120"/>
            </w:tcMar>
          </w:tcPr>
          <w:p>
            <w:pPr>
              <w:spacing w:before="0" w:after="100"/>
            </w:pPr>
            <w:r>
              <w:rPr>
                <w:rFonts w:ascii="Arial" w:cs="Arial" w:eastAsia="Arial" w:hAnsi="Arial"/>
                <w:b/>
                <w:bCs/>
                <w:color w:val="D4860A"/>
                <w:sz w:val="20"/>
                <w:szCs w:val="20"/>
              </w:rPr>
              <w:t xml:space="preserve">⚠  May Require Prior Auth</w:t>
            </w:r>
          </w:p>
          <w:p>
            <w:pPr>
              <w:pStyle w:val="ListParagraph"/>
              <w:numPr>
                <w:ilvl w:val="0"/>
                <w:numId w:val="2"/>
              </w:numPr>
              <w:spacing w:before="0" w:after="60"/>
            </w:pPr>
            <w:r>
              <w:rPr>
                <w:rFonts w:ascii="Arial" w:cs="Arial" w:eastAsia="Arial" w:hAnsi="Arial"/>
                <w:color w:val="1A1A2E"/>
                <w:sz w:val="20"/>
                <w:szCs w:val="20"/>
              </w:rPr>
              <w:t xml:space="preserve">Some Medicaid plans</w:t>
            </w:r>
          </w:p>
          <w:p>
            <w:pPr>
              <w:pStyle w:val="ListParagraph"/>
              <w:numPr>
                <w:ilvl w:val="0"/>
                <w:numId w:val="2"/>
              </w:numPr>
              <w:spacing w:before="0" w:after="60"/>
            </w:pPr>
            <w:r>
              <w:rPr>
                <w:rFonts w:ascii="Arial" w:cs="Arial" w:eastAsia="Arial" w:hAnsi="Arial"/>
                <w:color w:val="1A1A2E"/>
                <w:sz w:val="20"/>
                <w:szCs w:val="20"/>
              </w:rPr>
              <w:t xml:space="preserve">TRICARE</w:t>
            </w:r>
          </w:p>
          <w:p>
            <w:pPr>
              <w:pStyle w:val="ListParagraph"/>
              <w:numPr>
                <w:ilvl w:val="0"/>
                <w:numId w:val="2"/>
              </w:numPr>
              <w:spacing w:before="0" w:after="60"/>
            </w:pPr>
            <w:r>
              <w:rPr>
                <w:rFonts w:ascii="Arial" w:cs="Arial" w:eastAsia="Arial" w:hAnsi="Arial"/>
                <w:color w:val="1A1A2E"/>
                <w:sz w:val="20"/>
                <w:szCs w:val="20"/>
              </w:rPr>
              <w:t xml:space="preserve">High-deductible plans (HDHP)</w:t>
            </w:r>
          </w:p>
          <w:p>
            <w:pPr>
              <w:pStyle w:val="ListParagraph"/>
              <w:numPr>
                <w:ilvl w:val="0"/>
                <w:numId w:val="2"/>
              </w:numPr>
              <w:spacing w:before="0" w:after="60"/>
            </w:pPr>
            <w:r>
              <w:rPr>
                <w:rFonts w:ascii="Arial" w:cs="Arial" w:eastAsia="Arial" w:hAnsi="Arial"/>
                <w:color w:val="1A1A2E"/>
                <w:sz w:val="20"/>
                <w:szCs w:val="20"/>
              </w:rPr>
              <w:t xml:space="preserve">Some ACA exchange plans</w:t>
            </w:r>
          </w:p>
          <w:p>
            <w:pPr>
              <w:pStyle w:val="ListParagraph"/>
              <w:numPr>
                <w:ilvl w:val="0"/>
                <w:numId w:val="2"/>
              </w:numPr>
              <w:spacing w:before="0" w:after="60"/>
            </w:pPr>
            <w:r>
              <w:rPr>
                <w:rFonts w:ascii="Arial" w:cs="Arial" w:eastAsia="Arial" w:hAnsi="Arial"/>
                <w:color w:val="1A1A2E"/>
                <w:sz w:val="20"/>
                <w:szCs w:val="20"/>
              </w:rPr>
              <w:t xml:space="preserve">Revive handles prior auth paperwork on Standard and Complete plans.</w:t>
            </w:r>
          </w:p>
        </w:tc>
      </w:tr>
    </w:tbl>
    <w:p>
      <w:pPr>
        <w:spacing w:before="0" w:after="12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Off-Label &amp; Compounded Medications</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Anastrozole, clomiphene, enclomiphene, sermorelin, PT-141, and hCG are used off-label or are compounded medications. Insurance plans almost universally decline coverage for these. If your treatment includes any of these medications, plan to pay out-of-pocket. Your clinician will advise before prescribing.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  Membership Plans &amp; Fee Schedule</w:t>
            </w:r>
          </w:p>
        </w:tc>
      </w:tr>
    </w:tbl>
    <w:p>
      <w:pPr>
        <w:spacing w:before="0" w:after="160"/>
      </w:pPr>
    </w:p>
    <w:p>
      <w:pPr>
        <w:spacing w:before="20" w:after="100"/>
      </w:pPr>
      <w:r>
        <w:rPr>
          <w:rFonts w:ascii="Arial" w:cs="Arial" w:eastAsia="Arial" w:hAnsi="Arial"/>
          <w:color w:val="1A1A2E"/>
          <w:sz w:val="22"/>
          <w:szCs w:val="22"/>
        </w:rPr>
        <w:t xml:space="preserve">All plans begin with the same $99 first visit (physician consultation + 51-analyte lab panel + injection training). Select your plan below:</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180"/>
        <w:gridCol w:w="2180"/>
        <w:gridCol w:w="3200"/>
      </w:tblGrid>
      <w:tr>
        <w:tc>
          <w:tcPr>
            <w:tcW w:type="dxa" w:w="18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center"/>
            </w:pPr>
            <w:r>
              <w:rPr>
                <w:rFonts w:ascii="Arial" w:cs="Arial" w:eastAsia="Arial" w:hAnsi="Arial"/>
                <w:b/>
                <w:bCs/>
                <w:color w:val="FFFFFF"/>
                <w:sz w:val="19"/>
                <w:szCs w:val="19"/>
              </w:rPr>
              <w:t xml:space="preserve"/>
            </w:r>
          </w:p>
        </w:tc>
        <w:tc>
          <w:tcPr>
            <w:tcW w:type="dxa" w:w="2180"/>
            <w:tcBorders>
              <w:top w:val="single" w:color="1A7A8C" w:sz="1"/>
              <w:left w:val="single" w:color="1A7A8C" w:sz="1"/>
              <w:bottom w:val="single" w:color="1A7A8C" w:sz="1"/>
              <w:right w:val="single" w:color="1A7A8C" w:sz="1"/>
            </w:tcBorders>
            <w:shd w:fill="1A7A8C" w:val="clear"/>
            <w:tcMar>
              <w:top w:type="dxa" w:w="70"/>
              <w:left w:type="dxa" w:w="100"/>
              <w:bottom w:type="dxa" w:w="70"/>
              <w:right w:type="dxa" w:w="80"/>
            </w:tcMar>
          </w:tcPr>
          <w:p>
            <w:pPr>
              <w:spacing w:before="0" w:after="0"/>
              <w:jc w:val="center"/>
            </w:pPr>
            <w:r>
              <w:rPr>
                <w:rFonts w:ascii="Arial" w:cs="Arial" w:eastAsia="Arial" w:hAnsi="Arial"/>
                <w:b/>
                <w:bCs/>
                <w:color w:val="FFFFFF"/>
                <w:sz w:val="19"/>
                <w:szCs w:val="19"/>
              </w:rPr>
              <w:t xml:space="preserve">Standard</w:t>
            </w:r>
          </w:p>
        </w:tc>
        <w:tc>
          <w:tcPr>
            <w:tcW w:type="dxa" w:w="218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center"/>
            </w:pPr>
            <w:r>
              <w:rPr>
                <w:rFonts w:ascii="Arial" w:cs="Arial" w:eastAsia="Arial" w:hAnsi="Arial"/>
                <w:b/>
                <w:bCs/>
                <w:color w:val="FFFFFF"/>
                <w:sz w:val="19"/>
                <w:szCs w:val="19"/>
              </w:rPr>
              <w:t xml:space="preserve">Essential</w:t>
            </w:r>
          </w:p>
        </w:tc>
        <w:tc>
          <w:tcPr>
            <w:tcW w:type="dxa" w:w="3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center"/>
            </w:pPr>
            <w:r>
              <w:rPr>
                <w:rFonts w:ascii="Arial" w:cs="Arial" w:eastAsia="Arial" w:hAnsi="Arial"/>
                <w:b/>
                <w:bCs/>
                <w:color w:val="FFFFFF"/>
                <w:sz w:val="19"/>
                <w:szCs w:val="19"/>
              </w:rPr>
              <w:t xml:space="preserve">Complete</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Monthly membership</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$35/mo</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$99/mo</w:t>
            </w:r>
          </w:p>
        </w:tc>
        <w:tc>
          <w:tcPr>
            <w:tcW w:type="dxa" w:w="3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$269/mo</w:t>
            </w:r>
          </w:p>
        </w:tc>
      </w:tr>
      <w:tr>
        <w:tc>
          <w:tcPr>
            <w:tcW w:type="dxa" w:w="1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Estimated Year 1</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~$2,650</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~$1,287</w:t>
            </w:r>
          </w:p>
        </w:tc>
        <w:tc>
          <w:tcPr>
            <w:tcW w:type="dxa" w:w="3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~$3,327</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Estimated Year 2+</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~$1,452/yr</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~$1,188/yr</w:t>
            </w:r>
          </w:p>
        </w:tc>
        <w:tc>
          <w:tcPr>
            <w:tcW w:type="dxa" w:w="3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~$3,228/yr</w:t>
            </w:r>
          </w:p>
        </w:tc>
      </w:tr>
      <w:tr>
        <w:tc>
          <w:tcPr>
            <w:tcW w:type="dxa" w:w="1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Follow-up visits</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Billed per visit</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1 annual + 2 telehealth</w:t>
            </w:r>
          </w:p>
        </w:tc>
        <w:tc>
          <w:tcPr>
            <w:tcW w:type="dxa" w:w="3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4/yr + unlimited telehealth</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Follow-up labs</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Billed per visit</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Basic panel included</w:t>
            </w:r>
          </w:p>
        </w:tc>
        <w:tc>
          <w:tcPr>
            <w:tcW w:type="dxa" w:w="3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7-panel + annual comprehensive</w:t>
            </w:r>
          </w:p>
        </w:tc>
      </w:tr>
      <w:tr>
        <w:tc>
          <w:tcPr>
            <w:tcW w:type="dxa" w:w="1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Insurance pharmacy billing</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Add-on (+$25/mo)</w:t>
            </w:r>
          </w:p>
        </w:tc>
        <w:tc>
          <w:tcPr>
            <w:tcW w:type="dxa" w:w="3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hCG protocol</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Available</w:t>
            </w:r>
          </w:p>
        </w:tc>
        <w:tc>
          <w:tcPr>
            <w:tcW w:type="dxa" w:w="3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r>
      <w:tr>
        <w:tc>
          <w:tcPr>
            <w:tcW w:type="dxa" w:w="1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ED medication consult</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Add-on</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Add-on</w:t>
            </w:r>
          </w:p>
        </w:tc>
        <w:tc>
          <w:tcPr>
            <w:tcW w:type="dxa" w:w="3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Weight loss evaluation</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Add-on</w:t>
            </w:r>
          </w:p>
        </w:tc>
        <w:tc>
          <w:tcPr>
            <w:tcW w:type="dxa" w:w="21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Add-on</w:t>
            </w:r>
          </w:p>
        </w:tc>
        <w:tc>
          <w:tcPr>
            <w:tcW w:type="dxa" w:w="3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Included</w:t>
            </w:r>
          </w:p>
        </w:tc>
      </w:tr>
      <w:tr>
        <w:tc>
          <w:tcPr>
            <w:tcW w:type="dxa" w:w="1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FSA / HSA eligible</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Yes</w:t>
            </w:r>
          </w:p>
        </w:tc>
        <w:tc>
          <w:tcPr>
            <w:tcW w:type="dxa" w:w="21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Yes</w:t>
            </w:r>
          </w:p>
        </w:tc>
        <w:tc>
          <w:tcPr>
            <w:tcW w:type="dxa" w:w="3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color w:val="1A1A2E"/>
                <w:sz w:val="19"/>
                <w:szCs w:val="19"/>
              </w:rPr>
              <w:t xml:space="preserve">Yes</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8C" w:sz="16"/>
              <w:bottom w:val="single" w:color="1A7A8C" w:sz="1"/>
              <w:right w:val="none" w:color="FFFFFF" w:sz="0"/>
            </w:tcBorders>
            <w:shd w:fill="EAF4F8" w:val="clear"/>
            <w:tcMar>
              <w:top w:type="dxa" w:w="70"/>
              <w:left w:type="dxa" w:w="140"/>
              <w:bottom w:type="dxa" w:w="70"/>
              <w:right w:type="dxa" w:w="140"/>
            </w:tcMar>
          </w:tcPr>
          <w:p>
            <w:pPr>
              <w:spacing w:before="0" w:after="0"/>
            </w:pPr>
            <w:r>
              <w:rPr>
                <w:rFonts w:ascii="Arial" w:cs="Arial" w:eastAsia="Arial" w:hAnsi="Arial"/>
                <w:b/>
                <w:bCs/>
                <w:color w:val="1B3A6B"/>
                <w:sz w:val="23"/>
                <w:szCs w:val="23"/>
              </w:rPr>
              <w:t xml:space="preserve">Per-Visit &amp; Additional Fee Schedule</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560"/>
      </w:tblGrid>
      <w:tr>
        <w:tc>
          <w:tcPr>
            <w:tcW w:type="dxa" w:w="48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Service / Fee</w:t>
            </w:r>
          </w:p>
        </w:tc>
        <w:tc>
          <w:tcPr>
            <w:tcW w:type="dxa" w:w="456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Amount</w:t>
            </w:r>
          </w:p>
        </w:tc>
      </w:tr>
      <w:tr>
        <w:tc>
          <w:tcPr>
            <w:tcW w:type="dxa" w:w="4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First visit (all plans)</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$99 – includes physician consult, 51-analyte labs, injection training</w:t>
            </w:r>
          </w:p>
        </w:tc>
      </w:tr>
      <w:tr>
        <w:tc>
          <w:tcPr>
            <w:tcW w:type="dxa" w:w="4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Follow-up office visit</w:t>
            </w:r>
          </w:p>
        </w:tc>
        <w:tc>
          <w:tcPr>
            <w:tcW w:type="dxa" w:w="45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$147 per visit</w:t>
            </w:r>
          </w:p>
        </w:tc>
      </w:tr>
      <w:tr>
        <w:tc>
          <w:tcPr>
            <w:tcW w:type="dxa" w:w="4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Venipuncture (blood draw)</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$13 per visit</w:t>
            </w:r>
          </w:p>
        </w:tc>
      </w:tr>
      <w:tr>
        <w:tc>
          <w:tcPr>
            <w:tcW w:type="dxa" w:w="4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Follow-up lab panel</w:t>
            </w:r>
          </w:p>
        </w:tc>
        <w:tc>
          <w:tcPr>
            <w:tcW w:type="dxa" w:w="45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$159 – $217 per visit depending on tests ordered</w:t>
            </w:r>
          </w:p>
        </w:tc>
      </w:tr>
      <w:tr>
        <w:tc>
          <w:tcPr>
            <w:tcW w:type="dxa" w:w="4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Typical follow-up visit total (Standard plan)</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$319 – $377 per visit</w:t>
            </w:r>
          </w:p>
        </w:tc>
      </w:tr>
      <w:tr>
        <w:tc>
          <w:tcPr>
            <w:tcW w:type="dxa" w:w="4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No-show / late cancellation fee (2nd occurrence+)</w:t>
            </w:r>
          </w:p>
        </w:tc>
        <w:tc>
          <w:tcPr>
            <w:tcW w:type="dxa" w:w="45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$50 per occurrence</w:t>
            </w:r>
          </w:p>
        </w:tc>
      </w:tr>
      <w:tr>
        <w:tc>
          <w:tcPr>
            <w:tcW w:type="dxa" w:w="4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Returned payment / NSF fee</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$35 per occurrence</w:t>
            </w:r>
          </w:p>
        </w:tc>
      </w:tr>
      <w:tr>
        <w:tc>
          <w:tcPr>
            <w:tcW w:type="dxa" w:w="4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Collections processing fee</w:t>
            </w:r>
          </w:p>
        </w:tc>
        <w:tc>
          <w:tcPr>
            <w:tcW w:type="dxa" w:w="45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Actual cost passed through</w:t>
            </w:r>
          </w:p>
        </w:tc>
      </w:tr>
    </w:tbl>
    <w:p>
      <w:pPr>
        <w:spacing w:before="0" w:after="12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Membership Cancellation</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You may cancel your membership at any time by contacting Revive at 206-960-4770. Cancellation takes effect at the end of the current billing period. No refunds are issued for partial months already billed. Outstanding balances must be settled before cancellation is processed.</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Payment Policy</w:t>
            </w:r>
          </w:p>
        </w:tc>
      </w:tr>
    </w:tbl>
    <w:p>
      <w:pPr>
        <w:spacing w:before="0" w:after="160"/>
      </w:pPr>
    </w:p>
    <w:p>
      <w:pPr>
        <w:pStyle w:val="ListParagraph"/>
        <w:numPr>
          <w:ilvl w:val="0"/>
          <w:numId w:val="2"/>
        </w:numPr>
        <w:spacing w:before="20" w:after="60"/>
      </w:pPr>
      <w:r>
        <w:rPr>
          <w:rFonts w:ascii="Arial" w:cs="Arial" w:eastAsia="Arial" w:hAnsi="Arial"/>
          <w:color w:val="1A1A2E"/>
          <w:sz w:val="22"/>
          <w:szCs w:val="22"/>
        </w:rPr>
        <w:t xml:space="preserve">Payment is due at time of service for all clinical fees (office visits, labs, venipuncture). We accept credit cards, debit cards, and HSA/FSA cards.</w:t>
      </w:r>
    </w:p>
    <w:p>
      <w:pPr>
        <w:pStyle w:val="ListParagraph"/>
        <w:numPr>
          <w:ilvl w:val="0"/>
          <w:numId w:val="2"/>
        </w:numPr>
        <w:spacing w:before="20" w:after="60"/>
      </w:pPr>
      <w:r>
        <w:rPr>
          <w:rFonts w:ascii="Arial" w:cs="Arial" w:eastAsia="Arial" w:hAnsi="Arial"/>
          <w:color w:val="1A1A2E"/>
          <w:sz w:val="22"/>
          <w:szCs w:val="22"/>
        </w:rPr>
        <w:t xml:space="preserve">Membership fees are billed automatically on a monthly or annual basis to the card on file.</w:t>
      </w:r>
    </w:p>
    <w:p>
      <w:pPr>
        <w:pStyle w:val="ListParagraph"/>
        <w:numPr>
          <w:ilvl w:val="0"/>
          <w:numId w:val="2"/>
        </w:numPr>
        <w:spacing w:before="20" w:after="60"/>
      </w:pPr>
      <w:r>
        <w:rPr>
          <w:rFonts w:ascii="Arial" w:cs="Arial" w:eastAsia="Arial" w:hAnsi="Arial"/>
          <w:color w:val="1A1A2E"/>
          <w:sz w:val="22"/>
          <w:szCs w:val="22"/>
        </w:rPr>
        <w:t xml:space="preserve">Returned payments (NSF / declined card) incur a $35 returned payment fee. A replacement payment must be received within 5 business days or services will be paused.</w:t>
      </w:r>
    </w:p>
    <w:p>
      <w:pPr>
        <w:pStyle w:val="ListParagraph"/>
        <w:numPr>
          <w:ilvl w:val="0"/>
          <w:numId w:val="2"/>
        </w:numPr>
        <w:spacing w:before="20" w:after="60"/>
      </w:pPr>
      <w:r>
        <w:rPr>
          <w:rFonts w:ascii="Arial" w:cs="Arial" w:eastAsia="Arial" w:hAnsi="Arial"/>
          <w:color w:val="1A1A2E"/>
          <w:sz w:val="22"/>
          <w:szCs w:val="22"/>
        </w:rPr>
        <w:t xml:space="preserve">Accounts more than 60 days past due may be referred to a collections agency. The patient is responsible for all collection costs, including reasonable attorney fees if legal action is required.</w:t>
      </w:r>
    </w:p>
    <w:p>
      <w:pPr>
        <w:pStyle w:val="ListParagraph"/>
        <w:numPr>
          <w:ilvl w:val="0"/>
          <w:numId w:val="2"/>
        </w:numPr>
        <w:spacing w:before="20" w:after="60"/>
      </w:pPr>
      <w:r>
        <w:rPr>
          <w:rFonts w:ascii="Arial" w:cs="Arial" w:eastAsia="Arial" w:hAnsi="Arial"/>
          <w:color w:val="1A1A2E"/>
          <w:sz w:val="22"/>
          <w:szCs w:val="22"/>
        </w:rPr>
        <w:t xml:space="preserve">Revive does not maintain a sliding-scale or charity care programme. Payment plans may be arranged at Revive's sole discretion for established patients in good standing.</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5.  No-Show &amp; Late Cancellation Policy</w:t>
            </w:r>
          </w:p>
        </w:tc>
      </w:tr>
    </w:tbl>
    <w:p>
      <w:pPr>
        <w:spacing w:before="0" w:after="160"/>
      </w:pPr>
    </w:p>
    <w:p>
      <w:pPr>
        <w:spacing w:before="20" w:after="100"/>
      </w:pPr>
      <w:r>
        <w:rPr>
          <w:rFonts w:ascii="Arial" w:cs="Arial" w:eastAsia="Arial" w:hAnsi="Arial"/>
          <w:color w:val="1A1A2E"/>
          <w:sz w:val="22"/>
          <w:szCs w:val="22"/>
        </w:rPr>
        <w:t xml:space="preserve">Revive reserves appointment time specifically for each patient. Missed appointments and last-minute cancellations prevent other patients from being seen. The following policy applies to all appointment types:</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Appointment Type</w:t>
            </w:r>
          </w:p>
        </w:tc>
        <w:tc>
          <w:tcPr>
            <w:tcW w:type="dxa" w:w="576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Required Notice</w:t>
            </w:r>
          </w:p>
        </w:tc>
      </w:tr>
      <w:tr>
        <w:tc>
          <w:tcPr>
            <w:tcW w:type="dxa" w:w="36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Standard follow-up appointments</w:t>
            </w:r>
          </w:p>
        </w:tc>
        <w:tc>
          <w:tcPr>
            <w:tcW w:type="dxa" w:w="57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Cancel or reschedule at least 24 hours before your appointment time</w:t>
            </w:r>
          </w:p>
        </w:tc>
      </w:tr>
      <w:tr>
        <w:tc>
          <w:tcPr>
            <w:tcW w:type="dxa" w:w="36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First visit &amp; new patient consultations</w:t>
            </w:r>
          </w:p>
        </w:tc>
        <w:tc>
          <w:tcPr>
            <w:tcW w:type="dxa" w:w="57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Cancel or reschedule at least 48 hours before your appointment time</w:t>
            </w:r>
          </w:p>
        </w:tc>
      </w:tr>
      <w:tr>
        <w:tc>
          <w:tcPr>
            <w:tcW w:type="dxa" w:w="36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Procedure appointments (injections, lab draws)</w:t>
            </w:r>
          </w:p>
        </w:tc>
        <w:tc>
          <w:tcPr>
            <w:tcW w:type="dxa" w:w="57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Cancel or reschedule at least 24 hours before your appointment time</w:t>
            </w:r>
          </w:p>
        </w:tc>
      </w:tr>
      <w:tr>
        <w:tc>
          <w:tcPr>
            <w:tcW w:type="dxa" w:w="36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Late arrival</w:t>
            </w:r>
          </w:p>
        </w:tc>
        <w:tc>
          <w:tcPr>
            <w:tcW w:type="dxa" w:w="57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Arriving more than 15 minutes late may result in rescheduling; treated as a late cancellation</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8C" w:sz="16"/>
              <w:bottom w:val="single" w:color="1A7A8C" w:sz="1"/>
              <w:right w:val="none" w:color="FFFFFF" w:sz="0"/>
            </w:tcBorders>
            <w:shd w:fill="EAF4F8" w:val="clear"/>
            <w:tcMar>
              <w:top w:type="dxa" w:w="70"/>
              <w:left w:type="dxa" w:w="140"/>
              <w:bottom w:type="dxa" w:w="70"/>
              <w:right w:type="dxa" w:w="140"/>
            </w:tcMar>
          </w:tcPr>
          <w:p>
            <w:pPr>
              <w:spacing w:before="0" w:after="0"/>
            </w:pPr>
            <w:r>
              <w:rPr>
                <w:rFonts w:ascii="Arial" w:cs="Arial" w:eastAsia="Arial" w:hAnsi="Arial"/>
                <w:b/>
                <w:bCs/>
                <w:color w:val="1B3A6B"/>
                <w:sz w:val="23"/>
                <w:szCs w:val="23"/>
              </w:rPr>
              <w:t xml:space="preserve">Fee Escalation Schedule</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c>
          <w:tcPr>
            <w:tcW w:type="dxa" w:w="28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Occurrence</w:t>
            </w:r>
          </w:p>
        </w:tc>
        <w:tc>
          <w:tcPr>
            <w:tcW w:type="dxa" w:w="20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Fee</w:t>
            </w:r>
          </w:p>
        </w:tc>
        <w:tc>
          <w:tcPr>
            <w:tcW w:type="dxa" w:w="456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Action</w:t>
            </w:r>
          </w:p>
        </w:tc>
      </w:tr>
      <w:tr>
        <w:tc>
          <w:tcPr>
            <w:tcW w:type="dxa" w:w="28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1st occurrence (any 12-month period)</w:t>
            </w:r>
          </w:p>
        </w:tc>
        <w:tc>
          <w:tcPr>
            <w:tcW w:type="dxa" w:w="20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7A44"/>
                <w:sz w:val="20"/>
                <w:szCs w:val="20"/>
              </w:rPr>
              <w:t xml:space="preserve">No charge</w:t>
            </w:r>
          </w:p>
        </w:tc>
        <w:tc>
          <w:tcPr>
            <w:tcW w:type="dxa" w:w="45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Courtesy waiver — noted in chart. A reminder of policy will be communicated.</w:t>
            </w:r>
          </w:p>
        </w:tc>
      </w:tr>
      <w:tr>
        <w:tc>
          <w:tcPr>
            <w:tcW w:type="dxa" w:w="28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2nd occurrence (same 12-month period)</w:t>
            </w:r>
          </w:p>
        </w:tc>
        <w:tc>
          <w:tcPr>
            <w:tcW w:type="dxa" w:w="20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C0392B"/>
                <w:sz w:val="20"/>
                <w:szCs w:val="20"/>
              </w:rPr>
              <w:t xml:space="preserve">$50 fee</w:t>
            </w:r>
          </w:p>
        </w:tc>
        <w:tc>
          <w:tcPr>
            <w:tcW w:type="dxa" w:w="45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Charged to card on file automatically. No further waiver available in that period.</w:t>
            </w:r>
          </w:p>
        </w:tc>
      </w:tr>
      <w:tr>
        <w:tc>
          <w:tcPr>
            <w:tcW w:type="dxa" w:w="28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3rd occurrence (same 12-month period)</w:t>
            </w:r>
          </w:p>
        </w:tc>
        <w:tc>
          <w:tcPr>
            <w:tcW w:type="dxa" w:w="20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C0392B"/>
                <w:sz w:val="20"/>
                <w:szCs w:val="20"/>
              </w:rPr>
              <w:t xml:space="preserve">$50 fee + prepayment required</w:t>
            </w:r>
          </w:p>
        </w:tc>
        <w:tc>
          <w:tcPr>
            <w:tcW w:type="dxa" w:w="45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Fee charged. All future appointments require prepayment at time of booking.</w:t>
            </w:r>
          </w:p>
        </w:tc>
      </w:tr>
      <w:tr>
        <w:tc>
          <w:tcPr>
            <w:tcW w:type="dxa" w:w="28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4th or more (same 12-month period)</w:t>
            </w:r>
          </w:p>
        </w:tc>
        <w:tc>
          <w:tcPr>
            <w:tcW w:type="dxa" w:w="20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C0392B"/>
                <w:sz w:val="20"/>
                <w:szCs w:val="20"/>
              </w:rPr>
              <w:t xml:space="preserve">$50 fee per occurrence</w:t>
            </w:r>
          </w:p>
        </w:tc>
        <w:tc>
          <w:tcPr>
            <w:tcW w:type="dxa" w:w="45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color w:val="1A1A2E"/>
                <w:sz w:val="20"/>
                <w:szCs w:val="20"/>
              </w:rPr>
              <w:t xml:space="preserve">Revive reserves the right to discharge the patient from the practice.</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How to Cancel or Reschedule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Call 206-960-4770 or send a message through your patient portal. Cancellations must be received within the required window during business hours (Mon–Fri 9am–5pm). Voicemails left after hours count toward the next business day unless the appointment is the following morning.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6.  Agreement to Pay — Patient Signature</w:t>
            </w:r>
          </w:p>
        </w:tc>
      </w:tr>
    </w:tbl>
    <w:p>
      <w:pPr>
        <w:spacing w:before="0" w:after="160"/>
      </w:pPr>
    </w:p>
    <w:p>
      <w:pPr>
        <w:spacing w:before="20" w:after="100"/>
      </w:pPr>
      <w:r>
        <w:rPr>
          <w:rFonts w:ascii="Arial" w:cs="Arial" w:eastAsia="Arial" w:hAnsi="Arial"/>
          <w:color w:val="1A1A2E"/>
          <w:sz w:val="22"/>
          <w:szCs w:val="22"/>
        </w:rPr>
        <w:t xml:space="preserve">By signing below, I acknowledge and agree to the following:</w:t>
      </w:r>
    </w:p>
    <w:p>
      <w:pPr>
        <w:spacing w:before="0" w:after="10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understand that Revive Low T Clinic is a cash-pay practice for all clinical services (office visits, consultations, and labs). I am responsible for paying all clinical fees at the time of service, regardless of my insurance coverage.</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understand that providing my insurance information to Revive authorises prescription medication billing at my chosen pharmacy ONLY. It does not constitute an assignment of benefits for any clinical service, and Revive will not submit claims to my insurance for office visits or labs.</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understand that I may request a superbill (itemised receipt) and submit my own claim to my insurance carrier for potential reimbursement. Revive has no involvement in or responsibility for the outcome of any such claim.</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agree to pay all membership fees, visit fees, and lab fees as described in this Financial Policy. I authorise Revive to charge my card on file for membership fees and any applicable no-show fees or returned payment fees.</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have read and understand the No-Show &amp; Late Cancellation Policy. I understand that a $50 fee will be charged for the second and subsequent missed appointments or late cancellations within a 12-month period.</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understand that accounts more than 60 days past due may be referred to collections and that I am responsible for all associated costs.</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authorise Revive to charge the payment method on file for any outstanding balances owed under this Agreement.</w:t>
            </w:r>
          </w:p>
        </w:tc>
      </w:tr>
    </w:tbl>
    <w:p>
      <w:pPr>
        <w:spacing w:before="0" w:after="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Mar>
              <w:top w:type="dxa" w:w="50"/>
              <w:left w:type="dxa" w:w="0"/>
              <w:bottom w:type="dxa" w:w="50"/>
              <w:right w:type="dxa" w:w="60"/>
            </w:tcMar>
          </w:tcPr>
          <w:p>
            <w:pPr>
              <w:spacing w:before="0" w:after="0"/>
              <w:jc w:val="center"/>
            </w:pPr>
            <w:r>
              <w:rPr>
                <w:rFonts w:ascii="Arial" w:cs="Arial" w:eastAsia="Arial" w:hAnsi="Arial"/>
                <w:color w:val="1B3A6B"/>
                <w:sz w:val="26"/>
                <w:szCs w:val="26"/>
              </w:rPr>
              <w:t xml:space="preserve">☐</w:t>
            </w:r>
          </w:p>
        </w:tc>
        <w:tc>
          <w:tcPr>
            <w:tcW w:type="dxa" w:w="8960"/>
            <w:tcBorders>
              <w:top w:val="none" w:color="FFFFFF" w:sz="0"/>
              <w:left w:val="none" w:color="FFFFFF" w:sz="0"/>
              <w:bottom w:val="none" w:color="FFFFFF" w:sz="0"/>
              <w:right w:val="none" w:color="FFFFFF" w:sz="0"/>
            </w:tcBorders>
            <w:tcMar>
              <w:top w:type="dxa" w:w="50"/>
              <w:left w:type="dxa" w:w="60"/>
              <w:bottom w:type="dxa" w:w="50"/>
              <w:right w:type="dxa" w:w="0"/>
            </w:tcMar>
          </w:tcPr>
          <w:p>
            <w:pPr>
              <w:spacing w:before="0" w:after="0"/>
            </w:pPr>
            <w:r>
              <w:rPr>
                <w:rFonts w:ascii="Arial" w:cs="Arial" w:eastAsia="Arial" w:hAnsi="Arial"/>
                <w:color w:val="1A1A2E"/>
                <w:sz w:val="20"/>
                <w:szCs w:val="20"/>
              </w:rPr>
              <w:t xml:space="preserve">I have received a written Good Faith Estimate of expected charges as required by the federal No Surprises Act (45 CFR §149.610). I understand that if my actual bill is $400 or more above the estimate I may dispute the charge by contacting the CMS No Surprises Help Desk at 1-800-985-3059 or visiting cms.gov/medical-bill-rights within 120 days of receiving my bill.</w:t>
            </w:r>
          </w:p>
        </w:tc>
      </w:tr>
    </w:tbl>
    <w:p>
      <w:pPr>
        <w:spacing w:before="0" w:after="24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20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Card on File (last 4 digits)</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For Office Use Only</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80"/>
            </w:pPr>
            <w:r>
              <w:rPr>
                <w:rFonts w:ascii="Arial" w:cs="Arial" w:eastAsia="Arial" w:hAnsi="Arial"/>
                <w:color w:val="1A1A2E"/>
                <w:sz w:val="19"/>
                <w:szCs w:val="19"/>
              </w:rPr>
              <w:t xml:space="preserve">Plan enrolled:  ☐ Standard  ☐ Essential  ☐ Complete  ☐ First Visit Only</w:t>
            </w:r>
          </w:p>
          <w:p>
            <w:pPr>
              <w:spacing w:before="0" w:after="80"/>
            </w:pPr>
            <w:r>
              <w:rPr>
                <w:rFonts w:ascii="Arial" w:cs="Arial" w:eastAsia="Arial" w:hAnsi="Arial"/>
                <w:color w:val="1A1A2E"/>
                <w:sz w:val="19"/>
                <w:szCs w:val="19"/>
              </w:rPr>
              <w:t xml:space="preserve">Insurance info received:  ☐ Yes  ☐ No  |  Superbill opt-in:  ☐ Yes  ☐ No</w:t>
            </w:r>
          </w:p>
          <w:p>
            <w:pPr>
              <w:spacing w:before="0" w:after="80"/>
            </w:pPr>
            <w:r>
              <w:rPr>
                <w:rFonts w:ascii="Arial" w:cs="Arial" w:eastAsia="Arial" w:hAnsi="Arial"/>
                <w:color w:val="1A1A2E"/>
                <w:sz w:val="19"/>
                <w:szCs w:val="19"/>
              </w:rPr>
              <w:t xml:space="preserve">Card on file captured:  ☐ Yes  |  Date received:  ___________  |  Received by:  ___________</w:t>
            </w:r>
          </w:p>
          <w:p>
            <w:pPr>
              <w:spacing w:before="0" w:after="0"/>
            </w:pPr>
            <w:r>
              <w:rPr>
                <w:rFonts w:ascii="Arial" w:cs="Arial" w:eastAsia="Arial" w:hAnsi="Arial"/>
                <w:color w:val="1A1A2E"/>
                <w:sz w:val="19"/>
                <w:szCs w:val="19"/>
              </w:rPr>
              <w:t xml:space="preserve">Annual policy re-acknowledgment due: ___________  |  Re-acknowledged: ☐ Yes  ☐ Pending</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Financial Policy &amp; Agreement to Pay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Financial Policy  |  206-960-4770</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2026-03-18T16:21:46.603Z</dcterms:created>
  <dcterms:modified xsi:type="dcterms:W3CDTF">2026-03-18T16:21:46.604Z</dcterms:modified>
</cp:coreProperties>
</file>

<file path=docProps/custom.xml><?xml version="1.0" encoding="utf-8"?>
<Properties xmlns="http://schemas.openxmlformats.org/officeDocument/2006/custom-properties" xmlns:vt="http://schemas.openxmlformats.org/officeDocument/2006/docPropsVTypes"/>
</file>